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8AB25" w14:textId="77777777" w:rsidR="0082482F" w:rsidRDefault="00587BE5" w:rsidP="002D51E4">
      <w:pPr>
        <w:pStyle w:val="Heading2"/>
      </w:pPr>
      <w:r>
        <w:rPr>
          <w:noProof/>
        </w:rPr>
        <w:drawing>
          <wp:anchor distT="0" distB="0" distL="114300" distR="114300" simplePos="0" relativeHeight="251658240" behindDoc="0" locked="0" layoutInCell="1" allowOverlap="1" wp14:anchorId="29BC9102" wp14:editId="4213BCB6">
            <wp:simplePos x="0" y="0"/>
            <wp:positionH relativeFrom="margin">
              <wp:posOffset>4203700</wp:posOffset>
            </wp:positionH>
            <wp:positionV relativeFrom="paragraph">
              <wp:posOffset>-18415</wp:posOffset>
            </wp:positionV>
            <wp:extent cx="1736725" cy="969010"/>
            <wp:effectExtent l="19050" t="1905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e Struc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6725" cy="969010"/>
                    </a:xfrm>
                    <a:prstGeom prst="rect">
                      <a:avLst/>
                    </a:prstGeom>
                    <a:ln>
                      <a:solidFill>
                        <a:schemeClr val="accent1">
                          <a:lumMod val="60000"/>
                          <a:lumOff val="40000"/>
                        </a:schemeClr>
                      </a:solidFill>
                    </a:ln>
                  </pic:spPr>
                </pic:pic>
              </a:graphicData>
            </a:graphic>
            <wp14:sizeRelH relativeFrom="margin">
              <wp14:pctWidth>0</wp14:pctWidth>
            </wp14:sizeRelH>
          </wp:anchor>
        </w:drawing>
      </w:r>
      <w:r w:rsidR="00181391">
        <w:t>Support</w:t>
      </w:r>
      <w:r w:rsidR="00512FF2">
        <w:t xml:space="preserve"> Branch </w:t>
      </w:r>
      <w:r>
        <w:t>Substantive Areas</w:t>
      </w:r>
      <w:r w:rsidR="00192B16">
        <w:t xml:space="preserve"> (Code Sets)</w:t>
      </w:r>
    </w:p>
    <w:p w14:paraId="47FA6795" w14:textId="77777777" w:rsidR="002D51E4" w:rsidRDefault="002D51E4" w:rsidP="009578ED">
      <w:pPr>
        <w:spacing w:after="0"/>
      </w:pPr>
    </w:p>
    <w:p w14:paraId="6C64A15C" w14:textId="77777777" w:rsidR="00896262" w:rsidRDefault="00587BE5" w:rsidP="009578ED">
      <w:pPr>
        <w:spacing w:after="0"/>
      </w:pPr>
      <w:r w:rsidRPr="00587BE5">
        <w:t>Substantive Areas</w:t>
      </w:r>
      <w:r w:rsidR="00192B16">
        <w:t xml:space="preserve"> represent the </w:t>
      </w:r>
      <w:r w:rsidR="00192B16" w:rsidRPr="002A7403">
        <w:t>second</w:t>
      </w:r>
      <w:r w:rsidR="00192B16">
        <w:t xml:space="preserve"> highest organizational level within the ALA U</w:t>
      </w:r>
      <w:r w:rsidR="002F49AA">
        <w:t>P</w:t>
      </w:r>
      <w:r w:rsidR="00192B16">
        <w:t xml:space="preserve">BMS Codes and are designed to be easily and independently identifiable.  </w:t>
      </w:r>
    </w:p>
    <w:p w14:paraId="6B8F2547" w14:textId="77777777" w:rsidR="00896262" w:rsidRDefault="00896262" w:rsidP="009578ED">
      <w:pPr>
        <w:spacing w:after="0"/>
      </w:pPr>
    </w:p>
    <w:p w14:paraId="6D96137F" w14:textId="3B125BEC" w:rsidR="00192B16" w:rsidRDefault="00192B16" w:rsidP="009578ED">
      <w:pPr>
        <w:spacing w:after="0"/>
      </w:pPr>
      <w:r>
        <w:t>Each</w:t>
      </w:r>
      <w:r w:rsidR="00C62FF4">
        <w:t xml:space="preserve"> </w:t>
      </w:r>
      <w:r w:rsidR="00587BE5" w:rsidRPr="00587BE5">
        <w:t>Substantive Area</w:t>
      </w:r>
      <w:r>
        <w:t xml:space="preserve"> represents a </w:t>
      </w:r>
      <w:r w:rsidR="00EF2554">
        <w:t xml:space="preserve">single </w:t>
      </w:r>
      <w:r>
        <w:t>code set that contains a l</w:t>
      </w:r>
      <w:r w:rsidRPr="00192B16">
        <w:t>ogical</w:t>
      </w:r>
      <w:r>
        <w:t xml:space="preserve"> grouping</w:t>
      </w:r>
      <w:r w:rsidRPr="00192B16">
        <w:t xml:space="preserve"> of </w:t>
      </w:r>
      <w:r w:rsidR="003E30F4">
        <w:t>P</w:t>
      </w:r>
      <w:r w:rsidR="00587BE5">
        <w:t>rocesses</w:t>
      </w:r>
      <w:r>
        <w:t>.</w:t>
      </w:r>
      <w:r w:rsidR="007449C6">
        <w:t xml:space="preserve">  </w:t>
      </w:r>
      <w:r w:rsidR="00896262">
        <w:t xml:space="preserve">Below is a description of </w:t>
      </w:r>
      <w:r w:rsidR="00EF2554">
        <w:t xml:space="preserve">each </w:t>
      </w:r>
      <w:bookmarkStart w:id="0" w:name="_GoBack"/>
      <w:bookmarkEnd w:id="0"/>
      <w:r w:rsidR="003E30F4">
        <w:t>S</w:t>
      </w:r>
      <w:r w:rsidR="004663A0" w:rsidRPr="004663A0">
        <w:t>ubstantive Area</w:t>
      </w:r>
      <w:r w:rsidR="00896262">
        <w:t xml:space="preserve"> followed by a summary of the </w:t>
      </w:r>
      <w:r w:rsidR="004663A0">
        <w:t>Processes</w:t>
      </w:r>
      <w:r w:rsidR="00896262">
        <w:t xml:space="preserve"> </w:t>
      </w:r>
      <w:r w:rsidR="00C62FF4">
        <w:t>each</w:t>
      </w:r>
      <w:r w:rsidR="00896262">
        <w:t xml:space="preserve"> contain</w:t>
      </w:r>
      <w:r w:rsidR="00C62FF4">
        <w:t>s</w:t>
      </w:r>
      <w:r w:rsidR="00896262">
        <w:t>.</w:t>
      </w:r>
    </w:p>
    <w:p w14:paraId="3176CEF9" w14:textId="77777777" w:rsidR="0055720C" w:rsidRDefault="0055720C" w:rsidP="009578ED">
      <w:pPr>
        <w:spacing w:after="0"/>
      </w:pPr>
    </w:p>
    <w:p w14:paraId="35EEE639" w14:textId="77777777" w:rsidR="00CD3E47" w:rsidRPr="0055720C" w:rsidRDefault="00CD3E47" w:rsidP="0055720C">
      <w:pPr>
        <w:pStyle w:val="Heading2"/>
      </w:pPr>
      <w:r w:rsidRPr="0055720C">
        <w:t xml:space="preserve">Administrative Support (AS) </w:t>
      </w:r>
      <w:r w:rsidR="0055720C">
        <w:t>Classification</w:t>
      </w:r>
    </w:p>
    <w:p w14:paraId="2902E24A" w14:textId="77777777" w:rsidR="00CD3E47" w:rsidRDefault="00CD3E47" w:rsidP="00CD3E47">
      <w:pPr>
        <w:spacing w:after="0"/>
      </w:pPr>
    </w:p>
    <w:p w14:paraId="6EAFF298" w14:textId="77777777" w:rsidR="00CD3E47" w:rsidRPr="005C03BD" w:rsidRDefault="00102CD7" w:rsidP="00512FF2">
      <w:pPr>
        <w:spacing w:after="0"/>
        <w:rPr>
          <w:b/>
        </w:rPr>
      </w:pPr>
      <w:r>
        <w:rPr>
          <w:b/>
        </w:rPr>
        <w:t>AS10</w:t>
      </w:r>
      <w:r w:rsidR="00813084">
        <w:rPr>
          <w:b/>
        </w:rPr>
        <w:tab/>
      </w:r>
      <w:r w:rsidR="00CD3E47" w:rsidRPr="00D25B70">
        <w:rPr>
          <w:b/>
        </w:rPr>
        <w:t>Document Services</w:t>
      </w:r>
    </w:p>
    <w:p w14:paraId="6EFA9685" w14:textId="77777777" w:rsidR="00CD3E47" w:rsidRDefault="00CD3E47" w:rsidP="00CD3E47">
      <w:pPr>
        <w:spacing w:after="0"/>
      </w:pPr>
    </w:p>
    <w:p w14:paraId="1E6D5C56" w14:textId="77777777" w:rsidR="00CD3E47" w:rsidRDefault="00CD3E47" w:rsidP="00512FF2">
      <w:pPr>
        <w:spacing w:after="0"/>
      </w:pPr>
      <w:r>
        <w:t>P</w:t>
      </w:r>
      <w:r w:rsidRPr="005C03BD">
        <w:t>roducing and reproducing documents.</w:t>
      </w:r>
    </w:p>
    <w:p w14:paraId="647C17FF" w14:textId="77777777" w:rsidR="00CD3E47" w:rsidRDefault="00CD3E47" w:rsidP="00CD3E47">
      <w:pPr>
        <w:spacing w:after="0"/>
      </w:pPr>
    </w:p>
    <w:p w14:paraId="07B179CA" w14:textId="77777777" w:rsidR="00CD3E47" w:rsidRDefault="002E6EEB" w:rsidP="0055720C">
      <w:pPr>
        <w:spacing w:after="0"/>
        <w:ind w:left="720"/>
      </w:pPr>
      <w:r>
        <w:t>Processes</w:t>
      </w:r>
      <w:r w:rsidR="00CD3E47">
        <w:t xml:space="preserve"> within this </w:t>
      </w:r>
      <w:r>
        <w:t>S</w:t>
      </w:r>
      <w:r w:rsidR="00CD3E47">
        <w:t xml:space="preserve">ubstantive </w:t>
      </w:r>
      <w:r>
        <w:t>A</w:t>
      </w:r>
      <w:r w:rsidR="00CD3E47">
        <w:t>rea:</w:t>
      </w:r>
    </w:p>
    <w:p w14:paraId="3E9A004B" w14:textId="77777777" w:rsidR="00CD3E47" w:rsidRDefault="00CD3E47" w:rsidP="00CD3E47">
      <w:pPr>
        <w:spacing w:after="0"/>
      </w:pPr>
    </w:p>
    <w:p w14:paraId="350A02C8" w14:textId="77777777" w:rsidR="00102CD7" w:rsidRDefault="00102CD7" w:rsidP="00512FF2">
      <w:pPr>
        <w:spacing w:after="0"/>
        <w:ind w:firstLine="720"/>
      </w:pPr>
      <w:r>
        <w:t>AS10.10</w:t>
      </w:r>
      <w:r>
        <w:tab/>
        <w:t>Document Creation</w:t>
      </w:r>
    </w:p>
    <w:p w14:paraId="5C197BB6" w14:textId="77777777" w:rsidR="00102CD7" w:rsidRDefault="00102CD7" w:rsidP="00512FF2">
      <w:pPr>
        <w:spacing w:after="0"/>
        <w:ind w:firstLine="720"/>
      </w:pPr>
      <w:r>
        <w:t>AS10.15</w:t>
      </w:r>
      <w:r>
        <w:tab/>
        <w:t>Document Management</w:t>
      </w:r>
    </w:p>
    <w:p w14:paraId="58ABD2C7" w14:textId="77777777" w:rsidR="00102CD7" w:rsidRDefault="00102CD7" w:rsidP="00512FF2">
      <w:pPr>
        <w:spacing w:after="0"/>
        <w:ind w:firstLine="720"/>
      </w:pPr>
      <w:r>
        <w:t>AS10.20</w:t>
      </w:r>
      <w:r>
        <w:tab/>
        <w:t>Document Reproduction</w:t>
      </w:r>
    </w:p>
    <w:p w14:paraId="52C1F814" w14:textId="77777777" w:rsidR="00CD3E47" w:rsidRDefault="00CD3E47" w:rsidP="00CD3E47">
      <w:pPr>
        <w:spacing w:after="0"/>
      </w:pPr>
    </w:p>
    <w:p w14:paraId="765704A8" w14:textId="77777777" w:rsidR="00CD3E47" w:rsidRPr="005C03BD" w:rsidRDefault="00B862EA" w:rsidP="00512FF2">
      <w:pPr>
        <w:spacing w:after="0"/>
        <w:rPr>
          <w:b/>
        </w:rPr>
      </w:pPr>
      <w:r>
        <w:rPr>
          <w:b/>
        </w:rPr>
        <w:t>AS15</w:t>
      </w:r>
      <w:r w:rsidR="00813084">
        <w:rPr>
          <w:b/>
        </w:rPr>
        <w:tab/>
      </w:r>
      <w:r w:rsidR="00CD3E47">
        <w:rPr>
          <w:b/>
        </w:rPr>
        <w:t>Docket</w:t>
      </w:r>
      <w:r w:rsidR="00CD3E47" w:rsidRPr="00D25B70">
        <w:rPr>
          <w:b/>
        </w:rPr>
        <w:t xml:space="preserve"> Services</w:t>
      </w:r>
    </w:p>
    <w:p w14:paraId="035AA8BB" w14:textId="77777777" w:rsidR="00CD3E47" w:rsidRDefault="00CD3E47" w:rsidP="00CD3E47">
      <w:pPr>
        <w:spacing w:after="0"/>
      </w:pPr>
    </w:p>
    <w:p w14:paraId="4807BF9C" w14:textId="77777777" w:rsidR="00CD3E47" w:rsidRPr="008673C9" w:rsidRDefault="00CD3E47" w:rsidP="00512FF2">
      <w:pPr>
        <w:spacing w:after="0" w:line="240" w:lineRule="auto"/>
        <w:outlineLvl w:val="0"/>
        <w:rPr>
          <w:rFonts w:ascii="Calibri" w:eastAsia="Times New Roman" w:hAnsi="Calibri" w:cs="Calibri"/>
        </w:rPr>
      </w:pPr>
      <w:r w:rsidRPr="008673C9">
        <w:rPr>
          <w:rFonts w:ascii="Calibri" w:eastAsia="Times New Roman" w:hAnsi="Calibri" w:cs="Calibri"/>
        </w:rPr>
        <w:t>Court filing, litigation searching, docket maintenance, company and business name searching, property and title searching, and notary services.</w:t>
      </w:r>
    </w:p>
    <w:p w14:paraId="6C4EADEB" w14:textId="77777777" w:rsidR="00CD3E47" w:rsidRDefault="00CD3E47" w:rsidP="00CD3E47">
      <w:pPr>
        <w:spacing w:after="0"/>
      </w:pPr>
    </w:p>
    <w:p w14:paraId="2172FFF1" w14:textId="77777777" w:rsidR="003E30F4" w:rsidRDefault="003E30F4" w:rsidP="003E30F4">
      <w:pPr>
        <w:spacing w:after="0"/>
        <w:ind w:left="720"/>
      </w:pPr>
      <w:r>
        <w:t>Processes within this Substantive Area:</w:t>
      </w:r>
    </w:p>
    <w:p w14:paraId="53D185DC" w14:textId="77777777" w:rsidR="00CD3E47" w:rsidRDefault="00CD3E47" w:rsidP="00CD3E47">
      <w:pPr>
        <w:spacing w:after="0"/>
      </w:pPr>
    </w:p>
    <w:p w14:paraId="28092370" w14:textId="77777777" w:rsidR="007F14D0" w:rsidRDefault="007F14D0" w:rsidP="00512FF2">
      <w:pPr>
        <w:spacing w:after="0"/>
        <w:ind w:left="720"/>
      </w:pPr>
      <w:r>
        <w:t>AS15.10</w:t>
      </w:r>
      <w:r>
        <w:tab/>
        <w:t>Court Services</w:t>
      </w:r>
    </w:p>
    <w:p w14:paraId="01A1435A" w14:textId="77777777" w:rsidR="007F14D0" w:rsidRDefault="007F14D0" w:rsidP="00512FF2">
      <w:pPr>
        <w:spacing w:after="0"/>
        <w:ind w:left="720"/>
      </w:pPr>
      <w:r>
        <w:t>AS15.15</w:t>
      </w:r>
      <w:r>
        <w:tab/>
        <w:t>Docket Maintenance</w:t>
      </w:r>
    </w:p>
    <w:p w14:paraId="22A187FF" w14:textId="77777777" w:rsidR="007F14D0" w:rsidRDefault="007F14D0" w:rsidP="00512FF2">
      <w:pPr>
        <w:spacing w:after="0"/>
        <w:ind w:left="720"/>
      </w:pPr>
      <w:r>
        <w:t>AS15.20</w:t>
      </w:r>
      <w:r>
        <w:tab/>
        <w:t>Name or Entity Searches</w:t>
      </w:r>
    </w:p>
    <w:p w14:paraId="29EB133D" w14:textId="77777777" w:rsidR="007F14D0" w:rsidRDefault="007F14D0" w:rsidP="00512FF2">
      <w:pPr>
        <w:spacing w:after="0"/>
        <w:ind w:left="720"/>
      </w:pPr>
      <w:r>
        <w:t>AS15.25</w:t>
      </w:r>
      <w:r>
        <w:tab/>
        <w:t>Notary Services</w:t>
      </w:r>
    </w:p>
    <w:p w14:paraId="3A4DC2B8" w14:textId="77777777" w:rsidR="00CD3E47" w:rsidRDefault="007F14D0" w:rsidP="00512FF2">
      <w:pPr>
        <w:spacing w:after="0"/>
        <w:ind w:left="720"/>
      </w:pPr>
      <w:r>
        <w:t>AS15.30</w:t>
      </w:r>
      <w:r>
        <w:tab/>
        <w:t>Property Services</w:t>
      </w:r>
    </w:p>
    <w:p w14:paraId="5433EDD6" w14:textId="77777777" w:rsidR="007F14D0" w:rsidRDefault="007F14D0" w:rsidP="007F14D0">
      <w:pPr>
        <w:spacing w:after="0"/>
        <w:rPr>
          <w:b/>
        </w:rPr>
      </w:pPr>
    </w:p>
    <w:p w14:paraId="67381CEE" w14:textId="77777777" w:rsidR="00CD3E47" w:rsidRPr="005C03BD" w:rsidRDefault="008F5D1D" w:rsidP="00CD3E47">
      <w:pPr>
        <w:spacing w:after="0"/>
        <w:rPr>
          <w:b/>
        </w:rPr>
      </w:pPr>
      <w:r>
        <w:rPr>
          <w:b/>
        </w:rPr>
        <w:t>AS20</w:t>
      </w:r>
      <w:r w:rsidR="00813084">
        <w:rPr>
          <w:b/>
        </w:rPr>
        <w:tab/>
      </w:r>
      <w:r w:rsidR="00CD3E47" w:rsidRPr="00D25B70">
        <w:rPr>
          <w:b/>
        </w:rPr>
        <w:t>Communication Services</w:t>
      </w:r>
    </w:p>
    <w:p w14:paraId="6EBACFC4" w14:textId="77777777" w:rsidR="00CD3E47" w:rsidRDefault="00CD3E47" w:rsidP="00CD3E47">
      <w:pPr>
        <w:spacing w:after="0"/>
      </w:pPr>
    </w:p>
    <w:p w14:paraId="0FC19555" w14:textId="77777777" w:rsidR="00CD3E47" w:rsidRPr="009D139C" w:rsidRDefault="00813084" w:rsidP="00CD3E47">
      <w:pPr>
        <w:spacing w:after="0" w:line="240" w:lineRule="auto"/>
        <w:outlineLvl w:val="0"/>
        <w:rPr>
          <w:rFonts w:ascii="Calibri" w:eastAsia="Times New Roman" w:hAnsi="Calibri" w:cs="Calibri"/>
        </w:rPr>
      </w:pPr>
      <w:r w:rsidRPr="00813084">
        <w:rPr>
          <w:rFonts w:ascii="Calibri" w:eastAsia="Times New Roman" w:hAnsi="Calibri" w:cs="Calibri"/>
        </w:rPr>
        <w:t>The coordination and management of electronic and telecommunication systems.</w:t>
      </w:r>
    </w:p>
    <w:p w14:paraId="108A8C90" w14:textId="77777777" w:rsidR="00CD3E47" w:rsidRDefault="00CD3E47" w:rsidP="00CD3E47">
      <w:pPr>
        <w:spacing w:after="0"/>
      </w:pPr>
    </w:p>
    <w:p w14:paraId="2E3F2A02" w14:textId="77777777" w:rsidR="00813084" w:rsidRDefault="00813084" w:rsidP="00813084">
      <w:pPr>
        <w:spacing w:after="0"/>
        <w:ind w:left="720"/>
      </w:pPr>
      <w:r>
        <w:t>Processes within this Substantive Area:</w:t>
      </w:r>
    </w:p>
    <w:p w14:paraId="483B6352" w14:textId="77777777" w:rsidR="00CD3E47" w:rsidRDefault="00CD3E47" w:rsidP="00CD3E47">
      <w:pPr>
        <w:spacing w:after="0"/>
      </w:pPr>
    </w:p>
    <w:p w14:paraId="295E1D67" w14:textId="77777777" w:rsidR="00813084" w:rsidRDefault="00813084" w:rsidP="00813084">
      <w:pPr>
        <w:spacing w:after="0"/>
        <w:ind w:left="720"/>
      </w:pPr>
      <w:r>
        <w:t>AS20.10</w:t>
      </w:r>
      <w:r>
        <w:tab/>
        <w:t>Electronic Communications Services</w:t>
      </w:r>
    </w:p>
    <w:p w14:paraId="1A9ABF61" w14:textId="77777777" w:rsidR="00813084" w:rsidRDefault="00813084" w:rsidP="00813084">
      <w:pPr>
        <w:spacing w:after="0"/>
        <w:ind w:left="720"/>
      </w:pPr>
      <w:r>
        <w:t>AS20.15</w:t>
      </w:r>
      <w:r>
        <w:tab/>
        <w:t>Telecommunications Services</w:t>
      </w:r>
    </w:p>
    <w:p w14:paraId="3DACA03D" w14:textId="77777777" w:rsidR="00CD3E47" w:rsidRDefault="00813084" w:rsidP="00813084">
      <w:pPr>
        <w:spacing w:after="0"/>
        <w:ind w:left="720"/>
      </w:pPr>
      <w:r>
        <w:lastRenderedPageBreak/>
        <w:t>AS20.20</w:t>
      </w:r>
      <w:r>
        <w:tab/>
        <w:t>Facsimile Services</w:t>
      </w:r>
    </w:p>
    <w:p w14:paraId="228C2040" w14:textId="77777777" w:rsidR="00813084" w:rsidRDefault="00813084" w:rsidP="00813084">
      <w:pPr>
        <w:spacing w:after="0"/>
      </w:pPr>
    </w:p>
    <w:p w14:paraId="74BDF3CA" w14:textId="77777777" w:rsidR="00CD3E47" w:rsidRPr="005C03BD" w:rsidRDefault="00813084" w:rsidP="00CD3E47">
      <w:pPr>
        <w:spacing w:after="0"/>
        <w:rPr>
          <w:b/>
        </w:rPr>
      </w:pPr>
      <w:r>
        <w:rPr>
          <w:b/>
        </w:rPr>
        <w:t>AS25</w:t>
      </w:r>
      <w:r>
        <w:rPr>
          <w:b/>
        </w:rPr>
        <w:tab/>
      </w:r>
      <w:r w:rsidR="00CD3E47" w:rsidRPr="00D25B70">
        <w:rPr>
          <w:b/>
        </w:rPr>
        <w:t>Meetings Coordination</w:t>
      </w:r>
    </w:p>
    <w:p w14:paraId="363E8398" w14:textId="77777777" w:rsidR="00CD3E47" w:rsidRDefault="00CD3E47" w:rsidP="00CD3E47">
      <w:pPr>
        <w:spacing w:after="0"/>
      </w:pPr>
    </w:p>
    <w:p w14:paraId="174B37C3" w14:textId="77777777" w:rsidR="00CD3E47" w:rsidRPr="009428B9" w:rsidRDefault="00CD3E47" w:rsidP="00CD3E47">
      <w:pPr>
        <w:spacing w:after="0" w:line="240" w:lineRule="auto"/>
        <w:outlineLvl w:val="0"/>
        <w:rPr>
          <w:rFonts w:ascii="Calibri" w:eastAsia="Times New Roman" w:hAnsi="Calibri" w:cs="Calibri"/>
        </w:rPr>
      </w:pPr>
      <w:r w:rsidRPr="009428B9">
        <w:rPr>
          <w:rFonts w:ascii="Calibri" w:eastAsia="Times New Roman" w:hAnsi="Calibri" w:cs="Calibri"/>
        </w:rPr>
        <w:t>The planning, management and support of meetings.</w:t>
      </w:r>
    </w:p>
    <w:p w14:paraId="3BA6E9A4" w14:textId="77777777" w:rsidR="00CD3E47" w:rsidRDefault="00CD3E47" w:rsidP="00CD3E47">
      <w:pPr>
        <w:spacing w:after="0"/>
      </w:pPr>
    </w:p>
    <w:p w14:paraId="0D5DFC18" w14:textId="77777777" w:rsidR="00813084" w:rsidRDefault="00813084" w:rsidP="00813084">
      <w:pPr>
        <w:spacing w:after="0"/>
        <w:ind w:left="720"/>
      </w:pPr>
      <w:r>
        <w:t>Processes within this Substantive Area:</w:t>
      </w:r>
    </w:p>
    <w:p w14:paraId="699CCB14" w14:textId="77777777" w:rsidR="00CD3E47" w:rsidRDefault="00CD3E47" w:rsidP="00CD3E47">
      <w:pPr>
        <w:spacing w:after="0"/>
      </w:pPr>
    </w:p>
    <w:p w14:paraId="3F27BE78" w14:textId="77777777" w:rsidR="00813084" w:rsidRDefault="00813084" w:rsidP="00813084">
      <w:pPr>
        <w:spacing w:after="0"/>
        <w:ind w:left="720"/>
      </w:pPr>
      <w:r>
        <w:t>AS25.10</w:t>
      </w:r>
      <w:r>
        <w:tab/>
        <w:t>Meeting Logistics</w:t>
      </w:r>
    </w:p>
    <w:p w14:paraId="72C2D343" w14:textId="77777777" w:rsidR="00813084" w:rsidRDefault="00813084" w:rsidP="00813084">
      <w:pPr>
        <w:spacing w:after="0"/>
        <w:ind w:left="720"/>
      </w:pPr>
      <w:r>
        <w:t>AS25.15</w:t>
      </w:r>
      <w:r>
        <w:tab/>
        <w:t>Meeting Setup</w:t>
      </w:r>
    </w:p>
    <w:p w14:paraId="372FB118" w14:textId="77777777" w:rsidR="00CD3E47" w:rsidRDefault="00813084" w:rsidP="00813084">
      <w:pPr>
        <w:spacing w:after="0"/>
        <w:ind w:left="720"/>
      </w:pPr>
      <w:r>
        <w:t>AS25.20</w:t>
      </w:r>
      <w:r>
        <w:tab/>
        <w:t>Meeting Support</w:t>
      </w:r>
    </w:p>
    <w:p w14:paraId="3BA9B405" w14:textId="77777777" w:rsidR="0008517D" w:rsidRDefault="0008517D" w:rsidP="0008517D">
      <w:pPr>
        <w:spacing w:after="0"/>
      </w:pPr>
    </w:p>
    <w:p w14:paraId="786BF689" w14:textId="77777777" w:rsidR="0008517D" w:rsidRPr="00C106F1" w:rsidRDefault="0008517D" w:rsidP="0008517D">
      <w:pPr>
        <w:spacing w:after="0"/>
        <w:rPr>
          <w:b/>
        </w:rPr>
      </w:pPr>
      <w:r w:rsidRPr="00C106F1">
        <w:rPr>
          <w:b/>
        </w:rPr>
        <w:t>AS30</w:t>
      </w:r>
      <w:r w:rsidRPr="00C106F1">
        <w:rPr>
          <w:b/>
        </w:rPr>
        <w:tab/>
        <w:t>Travel Management</w:t>
      </w:r>
    </w:p>
    <w:p w14:paraId="391A723E" w14:textId="243B121C" w:rsidR="0008517D" w:rsidRDefault="0008517D" w:rsidP="0008517D">
      <w:pPr>
        <w:spacing w:after="0"/>
      </w:pPr>
    </w:p>
    <w:p w14:paraId="093289F3" w14:textId="60D6FA7C" w:rsidR="003C1A32" w:rsidRDefault="003C1A32" w:rsidP="0008517D">
      <w:pPr>
        <w:spacing w:after="0"/>
      </w:pPr>
      <w:r w:rsidRPr="003C1A32">
        <w:t>The planning, management and support of travel activities.</w:t>
      </w:r>
    </w:p>
    <w:p w14:paraId="0840F3D6" w14:textId="77777777" w:rsidR="003C1A32" w:rsidRDefault="003C1A32" w:rsidP="0008517D">
      <w:pPr>
        <w:spacing w:after="0"/>
      </w:pPr>
    </w:p>
    <w:p w14:paraId="6D7A577D" w14:textId="77777777" w:rsidR="00CC19CD" w:rsidRDefault="00CC19CD" w:rsidP="00CC19CD">
      <w:pPr>
        <w:spacing w:after="0"/>
        <w:ind w:left="720"/>
      </w:pPr>
      <w:r>
        <w:t>Processes within this Substantive Area:</w:t>
      </w:r>
    </w:p>
    <w:p w14:paraId="57838726" w14:textId="77777777" w:rsidR="00CC19CD" w:rsidRDefault="00CC19CD" w:rsidP="0008517D">
      <w:pPr>
        <w:spacing w:after="0"/>
      </w:pPr>
    </w:p>
    <w:p w14:paraId="469D8C7D" w14:textId="097B3A98" w:rsidR="0008517D" w:rsidRDefault="0008517D" w:rsidP="0008517D">
      <w:pPr>
        <w:spacing w:after="0"/>
      </w:pPr>
      <w:r>
        <w:tab/>
        <w:t>AS30.10</w:t>
      </w:r>
      <w:r>
        <w:tab/>
        <w:t>Travel Planning</w:t>
      </w:r>
    </w:p>
    <w:p w14:paraId="25237AB1" w14:textId="77777777" w:rsidR="0008517D" w:rsidRDefault="0008517D" w:rsidP="0008517D">
      <w:pPr>
        <w:spacing w:after="0"/>
      </w:pPr>
      <w:r>
        <w:tab/>
        <w:t>AS30.15</w:t>
      </w:r>
      <w:r>
        <w:tab/>
        <w:t>Rewards Program Management</w:t>
      </w:r>
    </w:p>
    <w:p w14:paraId="5D26A5A0" w14:textId="77777777" w:rsidR="0008517D" w:rsidRDefault="0008517D" w:rsidP="0008517D">
      <w:pPr>
        <w:spacing w:after="0"/>
      </w:pPr>
      <w:r>
        <w:tab/>
        <w:t>AS30.20</w:t>
      </w:r>
      <w:r>
        <w:tab/>
        <w:t>Preferred Travel Vendor Management</w:t>
      </w:r>
    </w:p>
    <w:p w14:paraId="2EACD659" w14:textId="77777777" w:rsidR="0008517D" w:rsidRDefault="0008517D" w:rsidP="0008517D">
      <w:pPr>
        <w:spacing w:after="0"/>
      </w:pPr>
      <w:r>
        <w:tab/>
        <w:t>AS30.25</w:t>
      </w:r>
      <w:r>
        <w:tab/>
        <w:t>Group Travel Management</w:t>
      </w:r>
    </w:p>
    <w:p w14:paraId="37A7EB66" w14:textId="77777777" w:rsidR="0008517D" w:rsidRDefault="0008517D" w:rsidP="0008517D">
      <w:pPr>
        <w:spacing w:after="0"/>
      </w:pPr>
      <w:r>
        <w:tab/>
        <w:t>AS30.30</w:t>
      </w:r>
      <w:r>
        <w:tab/>
        <w:t>Travel Readiness Management</w:t>
      </w:r>
    </w:p>
    <w:p w14:paraId="3FFE8471" w14:textId="77777777" w:rsidR="0008517D" w:rsidRDefault="0008517D" w:rsidP="0008517D">
      <w:pPr>
        <w:spacing w:after="0"/>
      </w:pPr>
    </w:p>
    <w:p w14:paraId="222BBB78" w14:textId="77777777" w:rsidR="0008517D" w:rsidRPr="00C106F1" w:rsidRDefault="0008517D" w:rsidP="0008517D">
      <w:pPr>
        <w:spacing w:after="0"/>
        <w:rPr>
          <w:b/>
        </w:rPr>
      </w:pPr>
      <w:r w:rsidRPr="00C106F1">
        <w:rPr>
          <w:b/>
        </w:rPr>
        <w:t>AS35</w:t>
      </w:r>
      <w:r w:rsidRPr="00C106F1">
        <w:rPr>
          <w:b/>
        </w:rPr>
        <w:tab/>
        <w:t>Facilities Management</w:t>
      </w:r>
      <w:r w:rsidRPr="00C106F1">
        <w:rPr>
          <w:b/>
        </w:rPr>
        <w:tab/>
      </w:r>
    </w:p>
    <w:p w14:paraId="02C3AAF6" w14:textId="10129418" w:rsidR="0008517D" w:rsidRDefault="0008517D" w:rsidP="0008517D">
      <w:pPr>
        <w:spacing w:after="0"/>
      </w:pPr>
    </w:p>
    <w:p w14:paraId="33C82207" w14:textId="5EEF7A7E" w:rsidR="003C1A32" w:rsidRDefault="003C1A32" w:rsidP="0008517D">
      <w:pPr>
        <w:spacing w:after="0"/>
      </w:pPr>
      <w:r w:rsidRPr="003C1A32">
        <w:t>Processes that encompass multiple disciplines intended to ensure functionality of the built environment by integrating people, place, process and technology.</w:t>
      </w:r>
    </w:p>
    <w:p w14:paraId="46A2A01C" w14:textId="77777777" w:rsidR="003C1A32" w:rsidRDefault="003C1A32" w:rsidP="0008517D">
      <w:pPr>
        <w:spacing w:after="0"/>
      </w:pPr>
    </w:p>
    <w:p w14:paraId="6BE4A3E7" w14:textId="77777777" w:rsidR="00CC19CD" w:rsidRDefault="00CC19CD" w:rsidP="00CC19CD">
      <w:pPr>
        <w:spacing w:after="0"/>
        <w:ind w:left="720"/>
      </w:pPr>
      <w:r>
        <w:t>Processes within this Substantive Area:</w:t>
      </w:r>
    </w:p>
    <w:p w14:paraId="2C50DC26" w14:textId="77777777" w:rsidR="00CC19CD" w:rsidRDefault="00CC19CD" w:rsidP="0008517D">
      <w:pPr>
        <w:spacing w:after="0"/>
      </w:pPr>
    </w:p>
    <w:p w14:paraId="278253F8" w14:textId="3D70D2B9" w:rsidR="0008517D" w:rsidRDefault="0008517D" w:rsidP="0008517D">
      <w:pPr>
        <w:spacing w:after="0"/>
      </w:pPr>
      <w:r>
        <w:tab/>
        <w:t>AS35.10</w:t>
      </w:r>
      <w:r>
        <w:tab/>
        <w:t>Operations and Maintenance</w:t>
      </w:r>
    </w:p>
    <w:p w14:paraId="4DDC1834" w14:textId="77777777" w:rsidR="0008517D" w:rsidRDefault="0008517D" w:rsidP="0008517D">
      <w:pPr>
        <w:spacing w:after="0"/>
      </w:pPr>
      <w:r>
        <w:tab/>
        <w:t>AS35.15</w:t>
      </w:r>
      <w:r>
        <w:tab/>
        <w:t>Lease Administration</w:t>
      </w:r>
    </w:p>
    <w:p w14:paraId="0F995BD5" w14:textId="77777777" w:rsidR="0008517D" w:rsidRDefault="0008517D" w:rsidP="0008517D">
      <w:pPr>
        <w:spacing w:after="0"/>
      </w:pPr>
      <w:r>
        <w:tab/>
        <w:t>AS35.20</w:t>
      </w:r>
      <w:r>
        <w:tab/>
        <w:t>Real Estate and Property Management</w:t>
      </w:r>
    </w:p>
    <w:p w14:paraId="0964C529" w14:textId="77777777" w:rsidR="0008517D" w:rsidRDefault="0008517D" w:rsidP="0008517D">
      <w:pPr>
        <w:spacing w:after="0"/>
      </w:pPr>
      <w:r>
        <w:tab/>
        <w:t>AS35.25</w:t>
      </w:r>
      <w:r>
        <w:tab/>
        <w:t>Environmental Stewardship and Sustainability</w:t>
      </w:r>
    </w:p>
    <w:p w14:paraId="79EC7402" w14:textId="77777777" w:rsidR="0008517D" w:rsidRDefault="0008517D" w:rsidP="0008517D">
      <w:pPr>
        <w:spacing w:after="0"/>
      </w:pPr>
    </w:p>
    <w:p w14:paraId="7F2B60D1" w14:textId="77777777" w:rsidR="0008517D" w:rsidRPr="00C106F1" w:rsidRDefault="0008517D" w:rsidP="0008517D">
      <w:pPr>
        <w:spacing w:after="0"/>
        <w:rPr>
          <w:b/>
        </w:rPr>
      </w:pPr>
      <w:r w:rsidRPr="00C106F1">
        <w:rPr>
          <w:b/>
        </w:rPr>
        <w:t>AS40</w:t>
      </w:r>
      <w:r w:rsidRPr="00C106F1">
        <w:rPr>
          <w:b/>
        </w:rPr>
        <w:tab/>
        <w:t>Mail and Messenger Services</w:t>
      </w:r>
    </w:p>
    <w:p w14:paraId="3E2E27F0" w14:textId="16974B31" w:rsidR="0008517D" w:rsidRDefault="0008517D" w:rsidP="0008517D">
      <w:pPr>
        <w:spacing w:after="0"/>
      </w:pPr>
    </w:p>
    <w:p w14:paraId="452C66E6" w14:textId="23624782" w:rsidR="003C1A32" w:rsidRDefault="003C1A32" w:rsidP="0008517D">
      <w:pPr>
        <w:spacing w:after="0"/>
      </w:pPr>
      <w:r w:rsidRPr="003C1A32">
        <w:t>The handling of mail or deliveries. It includes the review of incoming mail, processing of incoming and outgoing mail, shipping, and internal and external deliveries (excludes court runs).</w:t>
      </w:r>
    </w:p>
    <w:p w14:paraId="0C5E132E" w14:textId="77777777" w:rsidR="003C1A32" w:rsidRDefault="003C1A32" w:rsidP="0008517D">
      <w:pPr>
        <w:spacing w:after="0"/>
      </w:pPr>
    </w:p>
    <w:p w14:paraId="351A6896" w14:textId="77777777" w:rsidR="00CC19CD" w:rsidRDefault="00CC19CD" w:rsidP="00CC19CD">
      <w:pPr>
        <w:spacing w:after="0"/>
        <w:ind w:left="720"/>
      </w:pPr>
      <w:r>
        <w:t>Processes within this Substantive Area:</w:t>
      </w:r>
    </w:p>
    <w:p w14:paraId="79C32A66" w14:textId="77777777" w:rsidR="00CC19CD" w:rsidRDefault="00CC19CD" w:rsidP="0008517D">
      <w:pPr>
        <w:spacing w:after="0"/>
      </w:pPr>
    </w:p>
    <w:p w14:paraId="0BBEFF54" w14:textId="512B009B" w:rsidR="0008517D" w:rsidRDefault="0008517D" w:rsidP="0008517D">
      <w:pPr>
        <w:spacing w:after="0"/>
      </w:pPr>
      <w:r>
        <w:tab/>
        <w:t>AS40.10</w:t>
      </w:r>
      <w:r>
        <w:tab/>
        <w:t>Delivery Services</w:t>
      </w:r>
    </w:p>
    <w:p w14:paraId="3955E486" w14:textId="77777777" w:rsidR="0008517D" w:rsidRDefault="0008517D" w:rsidP="0008517D">
      <w:pPr>
        <w:spacing w:after="0"/>
      </w:pPr>
      <w:r>
        <w:tab/>
        <w:t>AS40.15</w:t>
      </w:r>
      <w:r>
        <w:tab/>
        <w:t>Mail Processing and Review</w:t>
      </w:r>
    </w:p>
    <w:p w14:paraId="2F2CCC8F" w14:textId="77777777" w:rsidR="0008517D" w:rsidRDefault="0008517D" w:rsidP="0008517D">
      <w:pPr>
        <w:spacing w:after="0"/>
      </w:pPr>
      <w:r>
        <w:tab/>
      </w:r>
      <w:r>
        <w:tab/>
      </w:r>
    </w:p>
    <w:p w14:paraId="64B068A8" w14:textId="08B3FCF9" w:rsidR="0008517D" w:rsidRDefault="0008517D" w:rsidP="00116E9D">
      <w:pPr>
        <w:pStyle w:val="Heading2"/>
      </w:pPr>
      <w:r>
        <w:t>Finance</w:t>
      </w:r>
      <w:r w:rsidR="00116E9D">
        <w:t xml:space="preserve"> (FN) Classification</w:t>
      </w:r>
    </w:p>
    <w:p w14:paraId="5EABE5A6" w14:textId="77777777" w:rsidR="0008517D" w:rsidRDefault="0008517D" w:rsidP="0008517D">
      <w:pPr>
        <w:spacing w:after="0"/>
      </w:pPr>
    </w:p>
    <w:p w14:paraId="0395EB5F" w14:textId="77777777" w:rsidR="0008517D" w:rsidRPr="00C106F1" w:rsidRDefault="0008517D" w:rsidP="0008517D">
      <w:pPr>
        <w:spacing w:after="0"/>
        <w:rPr>
          <w:b/>
        </w:rPr>
      </w:pPr>
      <w:r w:rsidRPr="00C106F1">
        <w:rPr>
          <w:b/>
        </w:rPr>
        <w:t>FN10</w:t>
      </w:r>
      <w:r w:rsidRPr="00C106F1">
        <w:rPr>
          <w:b/>
        </w:rPr>
        <w:tab/>
        <w:t>Credit and Collections</w:t>
      </w:r>
      <w:r w:rsidRPr="00C106F1">
        <w:rPr>
          <w:b/>
        </w:rPr>
        <w:tab/>
      </w:r>
    </w:p>
    <w:p w14:paraId="29735BBA" w14:textId="031AC7C8" w:rsidR="0008517D" w:rsidRDefault="0008517D" w:rsidP="0008517D">
      <w:pPr>
        <w:spacing w:after="0"/>
      </w:pPr>
    </w:p>
    <w:p w14:paraId="356EEC58" w14:textId="507170D5" w:rsidR="003C1A32" w:rsidRDefault="003C1A32" w:rsidP="0008517D">
      <w:pPr>
        <w:spacing w:after="0"/>
      </w:pPr>
      <w:r w:rsidRPr="003C1A32">
        <w:t>The accumulation of transactions (time keeping), the presentation of transactions for payment (billing), and the collection and recording of receivables.</w:t>
      </w:r>
    </w:p>
    <w:p w14:paraId="2B026988" w14:textId="77777777" w:rsidR="003C1A32" w:rsidRDefault="003C1A32" w:rsidP="0008517D">
      <w:pPr>
        <w:spacing w:after="0"/>
      </w:pPr>
    </w:p>
    <w:p w14:paraId="4F3E8111" w14:textId="77777777" w:rsidR="00CC19CD" w:rsidRDefault="00CC19CD" w:rsidP="00CC19CD">
      <w:pPr>
        <w:spacing w:after="0"/>
        <w:ind w:left="720"/>
      </w:pPr>
      <w:r>
        <w:t>Processes within this Substantive Area:</w:t>
      </w:r>
    </w:p>
    <w:p w14:paraId="55983C6F" w14:textId="77777777" w:rsidR="00CC19CD" w:rsidRDefault="00CC19CD" w:rsidP="0008517D">
      <w:pPr>
        <w:spacing w:after="0"/>
      </w:pPr>
    </w:p>
    <w:p w14:paraId="4992BB99" w14:textId="2BEA4650" w:rsidR="0008517D" w:rsidRDefault="0008517D" w:rsidP="0008517D">
      <w:pPr>
        <w:spacing w:after="0"/>
      </w:pPr>
      <w:r>
        <w:tab/>
        <w:t>FN10.10</w:t>
      </w:r>
      <w:r>
        <w:tab/>
        <w:t>Service Pricing</w:t>
      </w:r>
    </w:p>
    <w:p w14:paraId="1D33ABEF" w14:textId="77777777" w:rsidR="0008517D" w:rsidRDefault="0008517D" w:rsidP="0008517D">
      <w:pPr>
        <w:spacing w:after="0"/>
      </w:pPr>
      <w:r>
        <w:tab/>
        <w:t>FN10.15</w:t>
      </w:r>
      <w:r>
        <w:tab/>
        <w:t>Invoicing (Billing)</w:t>
      </w:r>
    </w:p>
    <w:p w14:paraId="6257B103" w14:textId="77777777" w:rsidR="0008517D" w:rsidRDefault="0008517D" w:rsidP="0008517D">
      <w:pPr>
        <w:spacing w:after="0"/>
      </w:pPr>
      <w:r>
        <w:tab/>
        <w:t>FN10.20</w:t>
      </w:r>
      <w:r>
        <w:tab/>
        <w:t>Accounts Receivable</w:t>
      </w:r>
    </w:p>
    <w:p w14:paraId="592E9AFA" w14:textId="77777777" w:rsidR="0008517D" w:rsidRDefault="0008517D" w:rsidP="0008517D">
      <w:pPr>
        <w:spacing w:after="0"/>
      </w:pPr>
      <w:r>
        <w:tab/>
        <w:t>FN10.25</w:t>
      </w:r>
      <w:r>
        <w:tab/>
        <w:t>International Finance</w:t>
      </w:r>
    </w:p>
    <w:p w14:paraId="6BFC4F52" w14:textId="77777777" w:rsidR="0008517D" w:rsidRDefault="0008517D" w:rsidP="0008517D">
      <w:pPr>
        <w:spacing w:after="0"/>
      </w:pPr>
      <w:r>
        <w:tab/>
        <w:t>FN10.30</w:t>
      </w:r>
      <w:r>
        <w:tab/>
        <w:t>Banking Relationships</w:t>
      </w:r>
    </w:p>
    <w:p w14:paraId="3385739A" w14:textId="77777777" w:rsidR="00CC19CD" w:rsidRDefault="00CC19CD" w:rsidP="0008517D">
      <w:pPr>
        <w:spacing w:after="0"/>
      </w:pPr>
    </w:p>
    <w:p w14:paraId="497BE936" w14:textId="4C535234" w:rsidR="0008517D" w:rsidRPr="00C106F1" w:rsidRDefault="0008517D" w:rsidP="0008517D">
      <w:pPr>
        <w:spacing w:after="0"/>
        <w:rPr>
          <w:b/>
        </w:rPr>
      </w:pPr>
      <w:r w:rsidRPr="00C106F1">
        <w:rPr>
          <w:b/>
        </w:rPr>
        <w:t>FN15</w:t>
      </w:r>
      <w:r w:rsidRPr="00C106F1">
        <w:rPr>
          <w:b/>
        </w:rPr>
        <w:tab/>
        <w:t>Financial Operations</w:t>
      </w:r>
      <w:r w:rsidRPr="00C106F1">
        <w:rPr>
          <w:b/>
        </w:rPr>
        <w:tab/>
      </w:r>
    </w:p>
    <w:p w14:paraId="31AE902A" w14:textId="404A9FAF" w:rsidR="0008517D" w:rsidRDefault="0008517D" w:rsidP="0008517D">
      <w:pPr>
        <w:spacing w:after="0"/>
      </w:pPr>
    </w:p>
    <w:p w14:paraId="09DCCB7A" w14:textId="769D1425" w:rsidR="003C1A32" w:rsidRDefault="003C1A32" w:rsidP="0008517D">
      <w:pPr>
        <w:spacing w:after="0"/>
      </w:pPr>
      <w:r w:rsidRPr="003C1A32">
        <w:t>General accounting and financial operations.</w:t>
      </w:r>
    </w:p>
    <w:p w14:paraId="4572C410" w14:textId="77777777" w:rsidR="003C1A32" w:rsidRDefault="003C1A32" w:rsidP="0008517D">
      <w:pPr>
        <w:spacing w:after="0"/>
      </w:pPr>
    </w:p>
    <w:p w14:paraId="21B0A534" w14:textId="77777777" w:rsidR="00CC19CD" w:rsidRDefault="00CC19CD" w:rsidP="00CC19CD">
      <w:pPr>
        <w:spacing w:after="0"/>
        <w:ind w:left="720"/>
      </w:pPr>
      <w:r>
        <w:t>Processes within this Substantive Area:</w:t>
      </w:r>
    </w:p>
    <w:p w14:paraId="74CBDA6E" w14:textId="77777777" w:rsidR="00CC19CD" w:rsidRDefault="00CC19CD" w:rsidP="0008517D">
      <w:pPr>
        <w:spacing w:after="0"/>
      </w:pPr>
    </w:p>
    <w:p w14:paraId="10DD630B" w14:textId="10BE6F98" w:rsidR="0008517D" w:rsidRDefault="0008517D" w:rsidP="0008517D">
      <w:pPr>
        <w:spacing w:after="0"/>
      </w:pPr>
      <w:r>
        <w:tab/>
        <w:t>FN15.10</w:t>
      </w:r>
      <w:r>
        <w:tab/>
        <w:t>Accounts Payable</w:t>
      </w:r>
    </w:p>
    <w:p w14:paraId="182D50ED" w14:textId="77777777" w:rsidR="0008517D" w:rsidRDefault="0008517D" w:rsidP="0008517D">
      <w:pPr>
        <w:spacing w:after="0"/>
      </w:pPr>
      <w:r>
        <w:tab/>
        <w:t>FN15.15</w:t>
      </w:r>
      <w:r>
        <w:tab/>
        <w:t>General Accounting</w:t>
      </w:r>
    </w:p>
    <w:p w14:paraId="1D8642DB" w14:textId="77777777" w:rsidR="0008517D" w:rsidRDefault="0008517D" w:rsidP="0008517D">
      <w:pPr>
        <w:spacing w:after="0"/>
      </w:pPr>
      <w:r>
        <w:tab/>
        <w:t>FN15.20</w:t>
      </w:r>
      <w:r>
        <w:tab/>
        <w:t>Trust Accounts</w:t>
      </w:r>
    </w:p>
    <w:p w14:paraId="42BF8C39" w14:textId="77777777" w:rsidR="0008517D" w:rsidRDefault="0008517D" w:rsidP="0008517D">
      <w:pPr>
        <w:spacing w:after="0"/>
      </w:pPr>
      <w:r>
        <w:tab/>
        <w:t>FN15.25</w:t>
      </w:r>
      <w:r>
        <w:tab/>
        <w:t>Payroll Administration</w:t>
      </w:r>
    </w:p>
    <w:p w14:paraId="4973372E" w14:textId="77777777" w:rsidR="0008517D" w:rsidRDefault="0008517D" w:rsidP="0008517D">
      <w:pPr>
        <w:spacing w:after="0"/>
      </w:pPr>
    </w:p>
    <w:p w14:paraId="6418BCB2" w14:textId="77777777" w:rsidR="0008517D" w:rsidRPr="00C106F1" w:rsidRDefault="0008517D" w:rsidP="0008517D">
      <w:pPr>
        <w:spacing w:after="0"/>
        <w:rPr>
          <w:b/>
        </w:rPr>
      </w:pPr>
      <w:r w:rsidRPr="00C106F1">
        <w:rPr>
          <w:b/>
        </w:rPr>
        <w:t>FN20</w:t>
      </w:r>
      <w:r w:rsidRPr="00C106F1">
        <w:rPr>
          <w:b/>
        </w:rPr>
        <w:tab/>
        <w:t>Financial Planning</w:t>
      </w:r>
      <w:r w:rsidRPr="00C106F1">
        <w:rPr>
          <w:b/>
        </w:rPr>
        <w:tab/>
      </w:r>
    </w:p>
    <w:p w14:paraId="4DB1FD2E" w14:textId="77777777" w:rsidR="003C1A32" w:rsidRDefault="003C1A32" w:rsidP="0008517D">
      <w:pPr>
        <w:spacing w:after="0"/>
      </w:pPr>
    </w:p>
    <w:p w14:paraId="240BE277" w14:textId="58ABB0FF" w:rsidR="0008517D" w:rsidRDefault="003C1A32" w:rsidP="0008517D">
      <w:pPr>
        <w:spacing w:after="0"/>
      </w:pPr>
      <w:r w:rsidRPr="003C1A32">
        <w:t>Processes related to budgeting, forecasting, financial analysis, reporting and audit services.  Entails analyzing short-term and long-term money flows to and from an organization to optimize profits and make the best use of available funds.</w:t>
      </w:r>
    </w:p>
    <w:p w14:paraId="358CEED6" w14:textId="77777777" w:rsidR="003C1A32" w:rsidRDefault="003C1A32" w:rsidP="0008517D">
      <w:pPr>
        <w:spacing w:after="0"/>
      </w:pPr>
    </w:p>
    <w:p w14:paraId="4B87A15A" w14:textId="77777777" w:rsidR="00CC19CD" w:rsidRDefault="00CC19CD" w:rsidP="00CC19CD">
      <w:pPr>
        <w:spacing w:after="0"/>
        <w:ind w:left="720"/>
      </w:pPr>
      <w:r>
        <w:t>Processes within this Substantive Area:</w:t>
      </w:r>
    </w:p>
    <w:p w14:paraId="693E928B" w14:textId="77777777" w:rsidR="00CC19CD" w:rsidRDefault="00CC19CD" w:rsidP="0008517D">
      <w:pPr>
        <w:spacing w:after="0"/>
      </w:pPr>
    </w:p>
    <w:p w14:paraId="76FBB4FC" w14:textId="2D45C90C" w:rsidR="0008517D" w:rsidRDefault="0008517D" w:rsidP="0008517D">
      <w:pPr>
        <w:spacing w:after="0"/>
      </w:pPr>
      <w:r>
        <w:tab/>
        <w:t>FN20.10</w:t>
      </w:r>
      <w:r>
        <w:tab/>
        <w:t>Budgeting</w:t>
      </w:r>
    </w:p>
    <w:p w14:paraId="315B2BDF" w14:textId="77777777" w:rsidR="0008517D" w:rsidRDefault="0008517D" w:rsidP="0008517D">
      <w:pPr>
        <w:spacing w:after="0"/>
      </w:pPr>
      <w:r>
        <w:tab/>
        <w:t>FN20.15</w:t>
      </w:r>
      <w:r>
        <w:tab/>
        <w:t>Forecasting</w:t>
      </w:r>
    </w:p>
    <w:p w14:paraId="11AEDB76" w14:textId="77777777" w:rsidR="0008517D" w:rsidRDefault="0008517D" w:rsidP="0008517D">
      <w:pPr>
        <w:spacing w:after="0"/>
      </w:pPr>
      <w:r>
        <w:tab/>
        <w:t>FN20.20</w:t>
      </w:r>
      <w:r>
        <w:tab/>
        <w:t>Financial Analysis</w:t>
      </w:r>
    </w:p>
    <w:p w14:paraId="7C260259" w14:textId="77777777" w:rsidR="0008517D" w:rsidRDefault="0008517D" w:rsidP="0008517D">
      <w:pPr>
        <w:spacing w:after="0"/>
      </w:pPr>
      <w:r>
        <w:tab/>
        <w:t>FN20.25</w:t>
      </w:r>
      <w:r>
        <w:tab/>
        <w:t>Financial Reporting</w:t>
      </w:r>
    </w:p>
    <w:p w14:paraId="59351148" w14:textId="77777777" w:rsidR="0008517D" w:rsidRDefault="0008517D" w:rsidP="0008517D">
      <w:pPr>
        <w:spacing w:after="0"/>
      </w:pPr>
      <w:r>
        <w:lastRenderedPageBreak/>
        <w:tab/>
        <w:t>FN20.30</w:t>
      </w:r>
      <w:r>
        <w:tab/>
        <w:t>Audit Services</w:t>
      </w:r>
    </w:p>
    <w:p w14:paraId="63E4E839" w14:textId="77777777" w:rsidR="0008517D" w:rsidRDefault="0008517D" w:rsidP="0008517D">
      <w:pPr>
        <w:spacing w:after="0"/>
      </w:pPr>
      <w:r>
        <w:tab/>
        <w:t>FN20.35</w:t>
      </w:r>
      <w:r>
        <w:tab/>
        <w:t>Capital Management</w:t>
      </w:r>
    </w:p>
    <w:p w14:paraId="5FADB037" w14:textId="77777777" w:rsidR="0008517D" w:rsidRDefault="0008517D" w:rsidP="0008517D">
      <w:pPr>
        <w:spacing w:after="0"/>
      </w:pPr>
    </w:p>
    <w:p w14:paraId="254E2232" w14:textId="77777777" w:rsidR="0008517D" w:rsidRPr="00C106F1" w:rsidRDefault="0008517D" w:rsidP="0008517D">
      <w:pPr>
        <w:spacing w:after="0"/>
        <w:rPr>
          <w:b/>
        </w:rPr>
      </w:pPr>
      <w:r w:rsidRPr="00C106F1">
        <w:rPr>
          <w:b/>
        </w:rPr>
        <w:t>FN25</w:t>
      </w:r>
      <w:r w:rsidRPr="00C106F1">
        <w:rPr>
          <w:b/>
        </w:rPr>
        <w:tab/>
        <w:t>Tax and Compliance</w:t>
      </w:r>
      <w:r w:rsidRPr="00C106F1">
        <w:rPr>
          <w:b/>
        </w:rPr>
        <w:tab/>
      </w:r>
    </w:p>
    <w:p w14:paraId="4182A770" w14:textId="0C8254F4" w:rsidR="0008517D" w:rsidRDefault="0008517D" w:rsidP="0008517D">
      <w:pPr>
        <w:spacing w:after="0"/>
      </w:pPr>
    </w:p>
    <w:p w14:paraId="7F01D42D" w14:textId="0AC6219D" w:rsidR="003C1A32" w:rsidRDefault="003C1A32" w:rsidP="0008517D">
      <w:pPr>
        <w:spacing w:after="0"/>
      </w:pPr>
      <w:r w:rsidRPr="003C1A32">
        <w:t>Meeting all reporting, tax, and business operation requirements.</w:t>
      </w:r>
    </w:p>
    <w:p w14:paraId="1DA36AE7" w14:textId="77777777" w:rsidR="003C1A32" w:rsidRDefault="003C1A32" w:rsidP="0008517D">
      <w:pPr>
        <w:spacing w:after="0"/>
      </w:pPr>
    </w:p>
    <w:p w14:paraId="2088DFC0" w14:textId="77777777" w:rsidR="00CC19CD" w:rsidRDefault="00CC19CD" w:rsidP="00CC19CD">
      <w:pPr>
        <w:spacing w:after="0"/>
        <w:ind w:left="720"/>
      </w:pPr>
      <w:r>
        <w:t>Processes within this Substantive Area:</w:t>
      </w:r>
    </w:p>
    <w:p w14:paraId="1C1C58E3" w14:textId="77777777" w:rsidR="00CC19CD" w:rsidRDefault="00CC19CD" w:rsidP="0008517D">
      <w:pPr>
        <w:spacing w:after="0"/>
      </w:pPr>
    </w:p>
    <w:p w14:paraId="4C5E5445" w14:textId="3DFC88E4" w:rsidR="0008517D" w:rsidRDefault="0008517D" w:rsidP="0008517D">
      <w:pPr>
        <w:spacing w:after="0"/>
      </w:pPr>
      <w:r>
        <w:tab/>
        <w:t>FN25.10</w:t>
      </w:r>
      <w:r>
        <w:tab/>
        <w:t>Tax and Reporting Services</w:t>
      </w:r>
    </w:p>
    <w:p w14:paraId="59D3BA13" w14:textId="77777777" w:rsidR="0008517D" w:rsidRDefault="0008517D" w:rsidP="0008517D">
      <w:pPr>
        <w:spacing w:after="0"/>
      </w:pPr>
      <w:r>
        <w:tab/>
        <w:t>FN25.15</w:t>
      </w:r>
      <w:r>
        <w:tab/>
        <w:t>Regulatory and Compliance Monitoring</w:t>
      </w:r>
    </w:p>
    <w:p w14:paraId="2A965108" w14:textId="77777777" w:rsidR="0008517D" w:rsidRDefault="0008517D" w:rsidP="0008517D">
      <w:pPr>
        <w:spacing w:after="0"/>
      </w:pPr>
      <w:r>
        <w:tab/>
        <w:t>FN25.20</w:t>
      </w:r>
      <w:r>
        <w:tab/>
        <w:t>Business Insurances</w:t>
      </w:r>
    </w:p>
    <w:p w14:paraId="63AF697C" w14:textId="77777777" w:rsidR="0008517D" w:rsidRDefault="0008517D" w:rsidP="0008517D">
      <w:pPr>
        <w:spacing w:after="0"/>
      </w:pPr>
      <w:r>
        <w:tab/>
      </w:r>
      <w:r>
        <w:tab/>
      </w:r>
    </w:p>
    <w:p w14:paraId="5B6EA21F" w14:textId="5F6B48CE" w:rsidR="0008517D" w:rsidRDefault="0008517D" w:rsidP="00116E9D">
      <w:pPr>
        <w:pStyle w:val="Heading2"/>
      </w:pPr>
      <w:r>
        <w:t>Human Resources</w:t>
      </w:r>
      <w:r w:rsidR="00116E9D">
        <w:t xml:space="preserve"> (HR) Classification</w:t>
      </w:r>
    </w:p>
    <w:p w14:paraId="3E4E6491" w14:textId="77777777" w:rsidR="0008517D" w:rsidRDefault="0008517D" w:rsidP="0008517D">
      <w:pPr>
        <w:spacing w:after="0"/>
      </w:pPr>
      <w:r>
        <w:tab/>
      </w:r>
    </w:p>
    <w:p w14:paraId="6074D854" w14:textId="77777777" w:rsidR="0008517D" w:rsidRPr="00C106F1" w:rsidRDefault="0008517D" w:rsidP="0008517D">
      <w:pPr>
        <w:spacing w:after="0"/>
        <w:rPr>
          <w:b/>
        </w:rPr>
      </w:pPr>
      <w:r w:rsidRPr="00C106F1">
        <w:rPr>
          <w:b/>
        </w:rPr>
        <w:t>HR10</w:t>
      </w:r>
      <w:r w:rsidRPr="00C106F1">
        <w:rPr>
          <w:b/>
        </w:rPr>
        <w:tab/>
        <w:t>Recruitment and Selection</w:t>
      </w:r>
      <w:r w:rsidRPr="00C106F1">
        <w:rPr>
          <w:b/>
        </w:rPr>
        <w:tab/>
      </w:r>
    </w:p>
    <w:p w14:paraId="5E8E19D8" w14:textId="77777777" w:rsidR="003C1A32" w:rsidRDefault="003C1A32" w:rsidP="0008517D">
      <w:pPr>
        <w:spacing w:after="0"/>
      </w:pPr>
    </w:p>
    <w:p w14:paraId="7D9BFD8E" w14:textId="3E65B2EE" w:rsidR="0008517D" w:rsidRDefault="003C1A32" w:rsidP="0008517D">
      <w:pPr>
        <w:spacing w:after="0"/>
      </w:pPr>
      <w:r w:rsidRPr="003C1A32">
        <w:t>Processes related to searching for and obtaining a pool of potential candidates with the desired knowledge, skills and abilities necessary to effectively conduct the business of the legal operation. Includes processes necessary to effectively facilitate the selection of the most appropriate candidates to fill job vacancies against defined position descriptions and specifications. Affirmative Action, Equal Employment Opportunity and Diversity regulations, programs and policies are integrated into these activities.</w:t>
      </w:r>
    </w:p>
    <w:p w14:paraId="721DFBE0" w14:textId="77777777" w:rsidR="003C1A32" w:rsidRDefault="003C1A32" w:rsidP="0008517D">
      <w:pPr>
        <w:spacing w:after="0"/>
      </w:pPr>
    </w:p>
    <w:p w14:paraId="068ACFF0" w14:textId="77777777" w:rsidR="00CC19CD" w:rsidRDefault="00CC19CD" w:rsidP="00CC19CD">
      <w:pPr>
        <w:spacing w:after="0"/>
        <w:ind w:left="720"/>
      </w:pPr>
      <w:r>
        <w:t>Processes within this Substantive Area:</w:t>
      </w:r>
    </w:p>
    <w:p w14:paraId="45DF3D69" w14:textId="77777777" w:rsidR="00CC19CD" w:rsidRDefault="00CC19CD" w:rsidP="0008517D">
      <w:pPr>
        <w:spacing w:after="0"/>
      </w:pPr>
    </w:p>
    <w:p w14:paraId="645B3821" w14:textId="1657EB01" w:rsidR="0008517D" w:rsidRDefault="0008517D" w:rsidP="0008517D">
      <w:pPr>
        <w:spacing w:after="0"/>
      </w:pPr>
      <w:r>
        <w:tab/>
        <w:t>HR10.10</w:t>
      </w:r>
      <w:r>
        <w:tab/>
        <w:t>Staffing Management</w:t>
      </w:r>
    </w:p>
    <w:p w14:paraId="1A853A75" w14:textId="77777777" w:rsidR="0008517D" w:rsidRDefault="0008517D" w:rsidP="0008517D">
      <w:pPr>
        <w:spacing w:after="0"/>
      </w:pPr>
      <w:r>
        <w:tab/>
        <w:t>HR10.15</w:t>
      </w:r>
      <w:r>
        <w:tab/>
        <w:t>Recruitment Strategy</w:t>
      </w:r>
    </w:p>
    <w:p w14:paraId="042066A3" w14:textId="77777777" w:rsidR="0008517D" w:rsidRDefault="0008517D" w:rsidP="0008517D">
      <w:pPr>
        <w:spacing w:after="0"/>
      </w:pPr>
      <w:r>
        <w:tab/>
        <w:t>HR10.20</w:t>
      </w:r>
      <w:r>
        <w:tab/>
        <w:t>Applicant Recruitment</w:t>
      </w:r>
    </w:p>
    <w:p w14:paraId="6A0E1D4E" w14:textId="77777777" w:rsidR="0008517D" w:rsidRDefault="0008517D" w:rsidP="0008517D">
      <w:pPr>
        <w:spacing w:after="0"/>
      </w:pPr>
      <w:r>
        <w:tab/>
        <w:t>HR10.25</w:t>
      </w:r>
      <w:r>
        <w:tab/>
        <w:t>Eligibility Review and Certification</w:t>
      </w:r>
    </w:p>
    <w:p w14:paraId="3A872BFA" w14:textId="77777777" w:rsidR="0008517D" w:rsidRDefault="0008517D" w:rsidP="0008517D">
      <w:pPr>
        <w:spacing w:after="0"/>
      </w:pPr>
    </w:p>
    <w:p w14:paraId="6EAEEC36" w14:textId="77777777" w:rsidR="0008517D" w:rsidRPr="00C106F1" w:rsidRDefault="0008517D" w:rsidP="0008517D">
      <w:pPr>
        <w:spacing w:after="0"/>
        <w:rPr>
          <w:b/>
        </w:rPr>
      </w:pPr>
      <w:r w:rsidRPr="00C106F1">
        <w:rPr>
          <w:b/>
        </w:rPr>
        <w:t>HR15</w:t>
      </w:r>
      <w:r w:rsidRPr="00C106F1">
        <w:rPr>
          <w:b/>
        </w:rPr>
        <w:tab/>
        <w:t>Compensation and Benefits</w:t>
      </w:r>
      <w:r w:rsidRPr="00C106F1">
        <w:rPr>
          <w:b/>
        </w:rPr>
        <w:tab/>
      </w:r>
    </w:p>
    <w:p w14:paraId="47A8BE04" w14:textId="1620417C" w:rsidR="0008517D" w:rsidRDefault="0008517D" w:rsidP="0008517D">
      <w:pPr>
        <w:spacing w:after="0"/>
      </w:pPr>
    </w:p>
    <w:p w14:paraId="1EFF092F" w14:textId="77777777" w:rsidR="003C1A32" w:rsidRPr="003C1A32" w:rsidRDefault="003C1A32" w:rsidP="003C1A32">
      <w:pPr>
        <w:spacing w:after="0" w:line="240" w:lineRule="auto"/>
        <w:outlineLvl w:val="0"/>
        <w:rPr>
          <w:rFonts w:ascii="Calibri" w:eastAsia="Times New Roman" w:hAnsi="Calibri" w:cs="Calibri"/>
        </w:rPr>
      </w:pPr>
      <w:r w:rsidRPr="003C1A32">
        <w:rPr>
          <w:rFonts w:ascii="Calibri" w:eastAsia="Times New Roman" w:hAnsi="Calibri" w:cs="Calibri"/>
        </w:rPr>
        <w:t>Various forms of direct and indirect employee compensation used to attract, recognize and retain workers. It includes designing and administering benefits such as paid leave, insurance, retirement plans and various employee services, as well as various benefits mandated by international, federal, state and local laws and regulations.</w:t>
      </w:r>
    </w:p>
    <w:p w14:paraId="6E7CF76E" w14:textId="391011C9" w:rsidR="003C1A32" w:rsidRDefault="003C1A32" w:rsidP="0008517D">
      <w:pPr>
        <w:spacing w:after="0"/>
      </w:pPr>
    </w:p>
    <w:p w14:paraId="3E2388BC" w14:textId="77777777" w:rsidR="00CC19CD" w:rsidRDefault="00CC19CD" w:rsidP="00CC19CD">
      <w:pPr>
        <w:spacing w:after="0"/>
        <w:ind w:left="720"/>
      </w:pPr>
      <w:r>
        <w:t>Processes within this Substantive Area:</w:t>
      </w:r>
    </w:p>
    <w:p w14:paraId="0C730EAB" w14:textId="77777777" w:rsidR="00CC19CD" w:rsidRDefault="00CC19CD" w:rsidP="0008517D">
      <w:pPr>
        <w:spacing w:after="0"/>
      </w:pPr>
    </w:p>
    <w:p w14:paraId="2F8E7699" w14:textId="74416956" w:rsidR="0008517D" w:rsidRDefault="0008517D" w:rsidP="0008517D">
      <w:pPr>
        <w:spacing w:after="0"/>
      </w:pPr>
      <w:r>
        <w:tab/>
        <w:t>HR15.10</w:t>
      </w:r>
      <w:r>
        <w:tab/>
        <w:t>Compensation Programs</w:t>
      </w:r>
    </w:p>
    <w:p w14:paraId="07688894" w14:textId="77777777" w:rsidR="0008517D" w:rsidRDefault="0008517D" w:rsidP="0008517D">
      <w:pPr>
        <w:spacing w:after="0"/>
      </w:pPr>
      <w:r>
        <w:tab/>
        <w:t>HR15.15</w:t>
      </w:r>
      <w:r>
        <w:tab/>
        <w:t>Insurance Programs</w:t>
      </w:r>
    </w:p>
    <w:p w14:paraId="504C43B2" w14:textId="77777777" w:rsidR="0008517D" w:rsidRDefault="0008517D" w:rsidP="0008517D">
      <w:pPr>
        <w:spacing w:after="0"/>
      </w:pPr>
      <w:r>
        <w:lastRenderedPageBreak/>
        <w:tab/>
        <w:t>HR15.20</w:t>
      </w:r>
      <w:r>
        <w:tab/>
        <w:t>Retirement Programs</w:t>
      </w:r>
    </w:p>
    <w:p w14:paraId="18CDEAC5" w14:textId="77777777" w:rsidR="0008517D" w:rsidRDefault="0008517D" w:rsidP="0008517D">
      <w:pPr>
        <w:spacing w:after="0"/>
      </w:pPr>
      <w:r>
        <w:tab/>
        <w:t>HR15.25</w:t>
      </w:r>
      <w:r>
        <w:tab/>
        <w:t>Non-Compensation Programs</w:t>
      </w:r>
    </w:p>
    <w:p w14:paraId="2EB438A5" w14:textId="77777777" w:rsidR="0008517D" w:rsidRDefault="0008517D" w:rsidP="0008517D">
      <w:pPr>
        <w:spacing w:after="0"/>
      </w:pPr>
      <w:r>
        <w:tab/>
        <w:t>HR15.30</w:t>
      </w:r>
      <w:r>
        <w:tab/>
        <w:t>Mandated Programs</w:t>
      </w:r>
    </w:p>
    <w:p w14:paraId="52EDEACE" w14:textId="77777777" w:rsidR="0008517D" w:rsidRDefault="0008517D" w:rsidP="0008517D">
      <w:pPr>
        <w:spacing w:after="0"/>
      </w:pPr>
    </w:p>
    <w:p w14:paraId="0C55CB03" w14:textId="77777777" w:rsidR="0008517D" w:rsidRPr="00C106F1" w:rsidRDefault="0008517D" w:rsidP="0008517D">
      <w:pPr>
        <w:spacing w:after="0"/>
        <w:rPr>
          <w:b/>
        </w:rPr>
      </w:pPr>
      <w:r w:rsidRPr="00C106F1">
        <w:rPr>
          <w:b/>
        </w:rPr>
        <w:t>HR20</w:t>
      </w:r>
      <w:r w:rsidRPr="00C106F1">
        <w:rPr>
          <w:b/>
        </w:rPr>
        <w:tab/>
        <w:t>Employment Relationship Management</w:t>
      </w:r>
      <w:r w:rsidRPr="00C106F1">
        <w:rPr>
          <w:b/>
        </w:rPr>
        <w:tab/>
      </w:r>
    </w:p>
    <w:p w14:paraId="5259F453" w14:textId="4FED7F9E" w:rsidR="0008517D" w:rsidRDefault="0008517D" w:rsidP="0008517D">
      <w:pPr>
        <w:spacing w:after="0"/>
      </w:pPr>
    </w:p>
    <w:p w14:paraId="6545B9BF" w14:textId="0770148E" w:rsidR="003F7816" w:rsidRDefault="003F7816" w:rsidP="0008517D">
      <w:pPr>
        <w:spacing w:after="0"/>
      </w:pPr>
      <w:r w:rsidRPr="003F7816">
        <w:t>Analyzing, developing, implementing and administering the employer-employee relationship.  Includes assessing the relationship; managing employee performance; ensuring that relations with employees comply with applicable international, federal, state and local laws and regulations; and resolving workplace disputes.</w:t>
      </w:r>
    </w:p>
    <w:p w14:paraId="27A8DF23" w14:textId="77777777" w:rsidR="003F7816" w:rsidRDefault="003F7816" w:rsidP="0008517D">
      <w:pPr>
        <w:spacing w:after="0"/>
      </w:pPr>
    </w:p>
    <w:p w14:paraId="2043B9E4" w14:textId="77777777" w:rsidR="00CC19CD" w:rsidRDefault="00CC19CD" w:rsidP="00CC19CD">
      <w:pPr>
        <w:spacing w:after="0"/>
        <w:ind w:left="720"/>
      </w:pPr>
      <w:r>
        <w:t>Processes within this Substantive Area:</w:t>
      </w:r>
    </w:p>
    <w:p w14:paraId="4E556C2B" w14:textId="77777777" w:rsidR="00CC19CD" w:rsidRDefault="00CC19CD" w:rsidP="0008517D">
      <w:pPr>
        <w:spacing w:after="0"/>
      </w:pPr>
    </w:p>
    <w:p w14:paraId="5FFF03DE" w14:textId="613F2403" w:rsidR="0008517D" w:rsidRDefault="0008517D" w:rsidP="0008517D">
      <w:pPr>
        <w:spacing w:after="0"/>
      </w:pPr>
      <w:r>
        <w:tab/>
        <w:t>HR20.10</w:t>
      </w:r>
      <w:r>
        <w:tab/>
        <w:t>Counseling/Performance Management</w:t>
      </w:r>
    </w:p>
    <w:p w14:paraId="5544552E" w14:textId="77777777" w:rsidR="0008517D" w:rsidRDefault="0008517D" w:rsidP="0008517D">
      <w:pPr>
        <w:spacing w:after="0"/>
      </w:pPr>
      <w:r>
        <w:tab/>
        <w:t>HR20.15</w:t>
      </w:r>
      <w:r>
        <w:tab/>
        <w:t>Performance Systems</w:t>
      </w:r>
    </w:p>
    <w:p w14:paraId="3984B761" w14:textId="77777777" w:rsidR="0008517D" w:rsidRDefault="0008517D" w:rsidP="0008517D">
      <w:pPr>
        <w:spacing w:after="0"/>
      </w:pPr>
      <w:r>
        <w:tab/>
        <w:t>HR20.20</w:t>
      </w:r>
      <w:r>
        <w:tab/>
        <w:t>Engagement</w:t>
      </w:r>
    </w:p>
    <w:p w14:paraId="337BCCC5" w14:textId="77777777" w:rsidR="0008517D" w:rsidRDefault="0008517D" w:rsidP="0008517D">
      <w:pPr>
        <w:spacing w:after="0"/>
      </w:pPr>
      <w:r>
        <w:tab/>
        <w:t>HR20.25</w:t>
      </w:r>
      <w:r>
        <w:tab/>
        <w:t>Diversity/Inclusion Awareness</w:t>
      </w:r>
    </w:p>
    <w:p w14:paraId="2F6B74D0" w14:textId="77777777" w:rsidR="0008517D" w:rsidRDefault="0008517D" w:rsidP="0008517D">
      <w:pPr>
        <w:spacing w:after="0"/>
      </w:pPr>
    </w:p>
    <w:p w14:paraId="486D21D5" w14:textId="77777777" w:rsidR="0008517D" w:rsidRPr="00C106F1" w:rsidRDefault="0008517D" w:rsidP="0008517D">
      <w:pPr>
        <w:spacing w:after="0"/>
        <w:rPr>
          <w:b/>
        </w:rPr>
      </w:pPr>
      <w:r w:rsidRPr="00C106F1">
        <w:rPr>
          <w:b/>
        </w:rPr>
        <w:t>HR25</w:t>
      </w:r>
      <w:r w:rsidRPr="00C106F1">
        <w:rPr>
          <w:b/>
        </w:rPr>
        <w:tab/>
        <w:t>Training and Development</w:t>
      </w:r>
      <w:r w:rsidRPr="00C106F1">
        <w:rPr>
          <w:b/>
        </w:rPr>
        <w:tab/>
      </w:r>
    </w:p>
    <w:p w14:paraId="1DB7D327" w14:textId="2FDA0803" w:rsidR="0008517D" w:rsidRDefault="0008517D" w:rsidP="0008517D">
      <w:pPr>
        <w:spacing w:after="0"/>
      </w:pPr>
    </w:p>
    <w:p w14:paraId="5A721F0C" w14:textId="2AC7D971" w:rsidR="003F7816" w:rsidRDefault="003F7816" w:rsidP="0008517D">
      <w:pPr>
        <w:spacing w:after="0"/>
      </w:pPr>
      <w:r w:rsidRPr="003F7816">
        <w:t>Teaching or developing any skills and knowledge that relate to specific useful and/or required competencies. This may include new hire job training, technology competency, soft skills enhancement, professional development/regulatory compliance education, or employment-related required training.</w:t>
      </w:r>
    </w:p>
    <w:p w14:paraId="05D509AC" w14:textId="77777777" w:rsidR="003F7816" w:rsidRDefault="003F7816" w:rsidP="0008517D">
      <w:pPr>
        <w:spacing w:after="0"/>
      </w:pPr>
    </w:p>
    <w:p w14:paraId="35066481" w14:textId="77777777" w:rsidR="00CC19CD" w:rsidRDefault="00CC19CD" w:rsidP="00CC19CD">
      <w:pPr>
        <w:spacing w:after="0"/>
        <w:ind w:left="720"/>
      </w:pPr>
      <w:r>
        <w:t>Processes within this Substantive Area:</w:t>
      </w:r>
    </w:p>
    <w:p w14:paraId="2F464A70" w14:textId="77777777" w:rsidR="00CC19CD" w:rsidRDefault="00CC19CD" w:rsidP="0008517D">
      <w:pPr>
        <w:spacing w:after="0"/>
      </w:pPr>
    </w:p>
    <w:p w14:paraId="302C52CA" w14:textId="514A6D0C" w:rsidR="0008517D" w:rsidRDefault="0008517D" w:rsidP="0008517D">
      <w:pPr>
        <w:spacing w:after="0"/>
      </w:pPr>
      <w:r>
        <w:tab/>
        <w:t>HR25.10</w:t>
      </w:r>
      <w:r>
        <w:tab/>
        <w:t>Program Development</w:t>
      </w:r>
    </w:p>
    <w:p w14:paraId="2F70DE22" w14:textId="77777777" w:rsidR="0008517D" w:rsidRDefault="0008517D" w:rsidP="0008517D">
      <w:pPr>
        <w:spacing w:after="0"/>
      </w:pPr>
      <w:r>
        <w:tab/>
        <w:t>HR25.15</w:t>
      </w:r>
      <w:r>
        <w:tab/>
        <w:t>Delivery</w:t>
      </w:r>
    </w:p>
    <w:p w14:paraId="18069486" w14:textId="77777777" w:rsidR="0008517D" w:rsidRDefault="0008517D" w:rsidP="0008517D">
      <w:pPr>
        <w:spacing w:after="0"/>
      </w:pPr>
      <w:r>
        <w:tab/>
        <w:t>HR25.20</w:t>
      </w:r>
      <w:r>
        <w:tab/>
        <w:t>Assessments</w:t>
      </w:r>
    </w:p>
    <w:p w14:paraId="4F7C87CF" w14:textId="77777777" w:rsidR="0008517D" w:rsidRDefault="0008517D" w:rsidP="0008517D">
      <w:pPr>
        <w:spacing w:after="0"/>
      </w:pPr>
      <w:r>
        <w:tab/>
        <w:t>HR25.25</w:t>
      </w:r>
      <w:r>
        <w:tab/>
        <w:t>Plan Development and Monitoring</w:t>
      </w:r>
    </w:p>
    <w:p w14:paraId="7772F3B3" w14:textId="77777777" w:rsidR="0008517D" w:rsidRDefault="0008517D" w:rsidP="0008517D">
      <w:pPr>
        <w:spacing w:after="0"/>
      </w:pPr>
    </w:p>
    <w:p w14:paraId="0FFC22A0" w14:textId="77777777" w:rsidR="0008517D" w:rsidRPr="00C106F1" w:rsidRDefault="0008517D" w:rsidP="0008517D">
      <w:pPr>
        <w:spacing w:after="0"/>
        <w:rPr>
          <w:b/>
        </w:rPr>
      </w:pPr>
      <w:r w:rsidRPr="00C106F1">
        <w:rPr>
          <w:b/>
        </w:rPr>
        <w:t>HR30</w:t>
      </w:r>
      <w:r w:rsidRPr="00C106F1">
        <w:rPr>
          <w:b/>
        </w:rPr>
        <w:tab/>
        <w:t>HR Consulting</w:t>
      </w:r>
      <w:r w:rsidRPr="00C106F1">
        <w:rPr>
          <w:b/>
        </w:rPr>
        <w:tab/>
      </w:r>
    </w:p>
    <w:p w14:paraId="56C90CB2" w14:textId="2AC765C4" w:rsidR="0008517D" w:rsidRDefault="0008517D" w:rsidP="0008517D">
      <w:pPr>
        <w:spacing w:after="0"/>
      </w:pPr>
    </w:p>
    <w:p w14:paraId="3E97CC4C" w14:textId="3EE9F147" w:rsidR="003F7816" w:rsidRDefault="003F7816" w:rsidP="0008517D">
      <w:pPr>
        <w:spacing w:after="0"/>
      </w:pPr>
      <w:r w:rsidRPr="003F7816">
        <w:t>Processes anticipated to help the organization manage and retain valuable employees, and to increase or maintain control over employment issues.</w:t>
      </w:r>
    </w:p>
    <w:p w14:paraId="74E837EA" w14:textId="77777777" w:rsidR="003F7816" w:rsidRDefault="003F7816" w:rsidP="0008517D">
      <w:pPr>
        <w:spacing w:after="0"/>
      </w:pPr>
    </w:p>
    <w:p w14:paraId="36A285CD" w14:textId="77777777" w:rsidR="00CC19CD" w:rsidRDefault="00CC19CD" w:rsidP="00CC19CD">
      <w:pPr>
        <w:spacing w:after="0"/>
        <w:ind w:left="720"/>
      </w:pPr>
      <w:r>
        <w:t>Processes within this Substantive Area:</w:t>
      </w:r>
    </w:p>
    <w:p w14:paraId="0DAC4E04" w14:textId="77777777" w:rsidR="00CC19CD" w:rsidRDefault="00CC19CD" w:rsidP="0008517D">
      <w:pPr>
        <w:spacing w:after="0"/>
      </w:pPr>
    </w:p>
    <w:p w14:paraId="79F8E7D2" w14:textId="13F3DE85" w:rsidR="0008517D" w:rsidRDefault="0008517D" w:rsidP="0008517D">
      <w:pPr>
        <w:spacing w:after="0"/>
      </w:pPr>
      <w:r>
        <w:tab/>
        <w:t>HR30.10</w:t>
      </w:r>
      <w:r>
        <w:tab/>
        <w:t>Policy Management</w:t>
      </w:r>
    </w:p>
    <w:p w14:paraId="5CE2575A" w14:textId="77777777" w:rsidR="0008517D" w:rsidRDefault="0008517D" w:rsidP="0008517D">
      <w:pPr>
        <w:spacing w:after="0"/>
      </w:pPr>
      <w:r>
        <w:tab/>
        <w:t>HR30.15</w:t>
      </w:r>
      <w:r>
        <w:tab/>
        <w:t>Staffing Management</w:t>
      </w:r>
    </w:p>
    <w:p w14:paraId="723DFF78" w14:textId="77777777" w:rsidR="0008517D" w:rsidRDefault="0008517D" w:rsidP="0008517D">
      <w:pPr>
        <w:spacing w:after="0"/>
      </w:pPr>
      <w:r>
        <w:tab/>
        <w:t>HR30.20</w:t>
      </w:r>
      <w:r>
        <w:tab/>
        <w:t>Global Human Resources</w:t>
      </w:r>
    </w:p>
    <w:p w14:paraId="4F7E8E63" w14:textId="77777777" w:rsidR="0008517D" w:rsidRDefault="0008517D" w:rsidP="0008517D">
      <w:pPr>
        <w:spacing w:after="0"/>
      </w:pPr>
      <w:r>
        <w:tab/>
        <w:t>HR30.25</w:t>
      </w:r>
      <w:r>
        <w:tab/>
        <w:t>Resource Planning</w:t>
      </w:r>
    </w:p>
    <w:p w14:paraId="4529461B" w14:textId="77777777" w:rsidR="0008517D" w:rsidRDefault="0008517D" w:rsidP="0008517D">
      <w:pPr>
        <w:spacing w:after="0"/>
      </w:pPr>
      <w:r>
        <w:lastRenderedPageBreak/>
        <w:tab/>
        <w:t>HR30.30</w:t>
      </w:r>
      <w:r>
        <w:tab/>
        <w:t>Employment Advisory Services</w:t>
      </w:r>
    </w:p>
    <w:p w14:paraId="5B7340FD" w14:textId="77777777" w:rsidR="0008517D" w:rsidRDefault="0008517D" w:rsidP="0008517D">
      <w:pPr>
        <w:spacing w:after="0"/>
      </w:pPr>
      <w:r>
        <w:tab/>
        <w:t>HR30.35</w:t>
      </w:r>
      <w:r>
        <w:tab/>
        <w:t>Labor Relations</w:t>
      </w:r>
    </w:p>
    <w:p w14:paraId="6F91192D" w14:textId="77777777" w:rsidR="0008517D" w:rsidRDefault="0008517D" w:rsidP="0008517D">
      <w:pPr>
        <w:spacing w:after="0"/>
      </w:pPr>
      <w:r>
        <w:tab/>
        <w:t>HR30.40</w:t>
      </w:r>
      <w:r>
        <w:tab/>
        <w:t>Safety and Security</w:t>
      </w:r>
    </w:p>
    <w:p w14:paraId="2C7FC970" w14:textId="77777777" w:rsidR="0008517D" w:rsidRDefault="0008517D" w:rsidP="0008517D">
      <w:pPr>
        <w:spacing w:after="0"/>
      </w:pPr>
      <w:r>
        <w:tab/>
      </w:r>
      <w:r>
        <w:tab/>
      </w:r>
    </w:p>
    <w:p w14:paraId="3D5F8B5B" w14:textId="339B2FCE" w:rsidR="0008517D" w:rsidRDefault="0008517D" w:rsidP="00116E9D">
      <w:pPr>
        <w:pStyle w:val="Heading2"/>
      </w:pPr>
      <w:r>
        <w:t>Business Development</w:t>
      </w:r>
      <w:r w:rsidR="00116E9D">
        <w:t xml:space="preserve"> (BD) Classification</w:t>
      </w:r>
    </w:p>
    <w:p w14:paraId="1571E858" w14:textId="77777777" w:rsidR="0008517D" w:rsidRDefault="0008517D" w:rsidP="0008517D">
      <w:pPr>
        <w:spacing w:after="0"/>
      </w:pPr>
      <w:r>
        <w:tab/>
      </w:r>
    </w:p>
    <w:p w14:paraId="4DEB39FB" w14:textId="77777777" w:rsidR="0008517D" w:rsidRPr="00C106F1" w:rsidRDefault="0008517D" w:rsidP="0008517D">
      <w:pPr>
        <w:spacing w:after="0"/>
        <w:rPr>
          <w:b/>
        </w:rPr>
      </w:pPr>
      <w:r w:rsidRPr="00C106F1">
        <w:rPr>
          <w:b/>
        </w:rPr>
        <w:t>BD10</w:t>
      </w:r>
      <w:r w:rsidRPr="00C106F1">
        <w:rPr>
          <w:b/>
        </w:rPr>
        <w:tab/>
        <w:t>Product (Service) Development</w:t>
      </w:r>
      <w:r w:rsidRPr="00C106F1">
        <w:rPr>
          <w:b/>
        </w:rPr>
        <w:tab/>
      </w:r>
    </w:p>
    <w:p w14:paraId="541C2CFF" w14:textId="052B44E0" w:rsidR="0008517D" w:rsidRDefault="0008517D" w:rsidP="0008517D">
      <w:pPr>
        <w:spacing w:after="0"/>
      </w:pPr>
    </w:p>
    <w:p w14:paraId="67FDFD0B" w14:textId="5B7175F7" w:rsidR="003F7816" w:rsidRDefault="003F7816" w:rsidP="0008517D">
      <w:pPr>
        <w:spacing w:after="0"/>
      </w:pPr>
      <w:r w:rsidRPr="003F7816">
        <w:t>The creation of products with new or different characteristics that offer new or additional benefits to the customer. Product development may involve modification of an existing product or its presentation, or formulation of an entirely new product that satisfies a newly defined customer want or market niche.</w:t>
      </w:r>
    </w:p>
    <w:p w14:paraId="09030BEB" w14:textId="77777777" w:rsidR="003F7816" w:rsidRDefault="003F7816" w:rsidP="0008517D">
      <w:pPr>
        <w:spacing w:after="0"/>
      </w:pPr>
    </w:p>
    <w:p w14:paraId="26399DB0" w14:textId="77777777" w:rsidR="00CC19CD" w:rsidRDefault="00CC19CD" w:rsidP="00CC19CD">
      <w:pPr>
        <w:spacing w:after="0"/>
        <w:ind w:left="720"/>
      </w:pPr>
      <w:r>
        <w:t>Processes within this Substantive Area:</w:t>
      </w:r>
    </w:p>
    <w:p w14:paraId="74B03B64" w14:textId="77777777" w:rsidR="00CC19CD" w:rsidRDefault="00CC19CD" w:rsidP="0008517D">
      <w:pPr>
        <w:spacing w:after="0"/>
      </w:pPr>
    </w:p>
    <w:p w14:paraId="57F7122B" w14:textId="0B631F30" w:rsidR="0008517D" w:rsidRDefault="0008517D" w:rsidP="0008517D">
      <w:pPr>
        <w:spacing w:after="0"/>
      </w:pPr>
      <w:r>
        <w:tab/>
        <w:t>BD10.10</w:t>
      </w:r>
      <w:r>
        <w:tab/>
        <w:t>Competitive Intelligence</w:t>
      </w:r>
    </w:p>
    <w:p w14:paraId="3C80EC2A" w14:textId="77777777" w:rsidR="0008517D" w:rsidRDefault="0008517D" w:rsidP="0008517D">
      <w:pPr>
        <w:spacing w:after="0"/>
      </w:pPr>
      <w:r>
        <w:tab/>
        <w:t>BD10.15</w:t>
      </w:r>
      <w:r>
        <w:tab/>
        <w:t>Business Intelligence (BI)</w:t>
      </w:r>
    </w:p>
    <w:p w14:paraId="38F0DA5B" w14:textId="77777777" w:rsidR="0008517D" w:rsidRDefault="0008517D" w:rsidP="0008517D">
      <w:pPr>
        <w:spacing w:after="0"/>
      </w:pPr>
      <w:r>
        <w:tab/>
        <w:t>BD10.20</w:t>
      </w:r>
      <w:r>
        <w:tab/>
        <w:t>Product Analysis</w:t>
      </w:r>
    </w:p>
    <w:p w14:paraId="0AF59966" w14:textId="77777777" w:rsidR="0008517D" w:rsidRDefault="0008517D" w:rsidP="0008517D">
      <w:pPr>
        <w:spacing w:after="0"/>
      </w:pPr>
      <w:r>
        <w:tab/>
        <w:t>BD10.25</w:t>
      </w:r>
      <w:r>
        <w:tab/>
        <w:t>Product Refinement</w:t>
      </w:r>
    </w:p>
    <w:p w14:paraId="0B0A8459" w14:textId="77777777" w:rsidR="0008517D" w:rsidRDefault="0008517D" w:rsidP="0008517D">
      <w:pPr>
        <w:spacing w:after="0"/>
      </w:pPr>
    </w:p>
    <w:p w14:paraId="2D83F6D7" w14:textId="77777777" w:rsidR="0008517D" w:rsidRPr="00C106F1" w:rsidRDefault="0008517D" w:rsidP="0008517D">
      <w:pPr>
        <w:spacing w:after="0"/>
        <w:rPr>
          <w:b/>
        </w:rPr>
      </w:pPr>
      <w:r w:rsidRPr="00C106F1">
        <w:rPr>
          <w:b/>
        </w:rPr>
        <w:t>BD15</w:t>
      </w:r>
      <w:r w:rsidRPr="00C106F1">
        <w:rPr>
          <w:b/>
        </w:rPr>
        <w:tab/>
        <w:t>Sales</w:t>
      </w:r>
      <w:r w:rsidRPr="00C106F1">
        <w:rPr>
          <w:b/>
        </w:rPr>
        <w:tab/>
      </w:r>
    </w:p>
    <w:p w14:paraId="3AA16BE6" w14:textId="137C246D" w:rsidR="0008517D" w:rsidRDefault="0008517D" w:rsidP="0008517D">
      <w:pPr>
        <w:spacing w:after="0"/>
      </w:pPr>
    </w:p>
    <w:p w14:paraId="1C8E132F" w14:textId="2592A0B0" w:rsidR="003F7816" w:rsidRDefault="003F7816" w:rsidP="0008517D">
      <w:pPr>
        <w:spacing w:after="0"/>
      </w:pPr>
      <w:r w:rsidRPr="003F7816">
        <w:t>Interpersonal and public interactions with prospects and customers to promote collective or individual abilities, educate regarding specific services being offered or sought, and obtain commitments to acquire said services.</w:t>
      </w:r>
    </w:p>
    <w:p w14:paraId="60BECE39" w14:textId="77777777" w:rsidR="003F7816" w:rsidRDefault="003F7816" w:rsidP="0008517D">
      <w:pPr>
        <w:spacing w:after="0"/>
      </w:pPr>
    </w:p>
    <w:p w14:paraId="27E36C0F" w14:textId="77777777" w:rsidR="00CC19CD" w:rsidRDefault="00CC19CD" w:rsidP="00CC19CD">
      <w:pPr>
        <w:spacing w:after="0"/>
        <w:ind w:left="720"/>
      </w:pPr>
      <w:r>
        <w:t>Processes within this Substantive Area:</w:t>
      </w:r>
    </w:p>
    <w:p w14:paraId="743207A1" w14:textId="77777777" w:rsidR="00CC19CD" w:rsidRDefault="00CC19CD" w:rsidP="0008517D">
      <w:pPr>
        <w:spacing w:after="0"/>
      </w:pPr>
    </w:p>
    <w:p w14:paraId="5DB52F91" w14:textId="5AB53152" w:rsidR="0008517D" w:rsidRDefault="0008517D" w:rsidP="0008517D">
      <w:pPr>
        <w:spacing w:after="0"/>
      </w:pPr>
      <w:r>
        <w:tab/>
        <w:t>BD15.10</w:t>
      </w:r>
      <w:r>
        <w:tab/>
        <w:t>Sales Strategy</w:t>
      </w:r>
    </w:p>
    <w:p w14:paraId="0AEEC5CA" w14:textId="77777777" w:rsidR="0008517D" w:rsidRDefault="0008517D" w:rsidP="0008517D">
      <w:pPr>
        <w:spacing w:after="0"/>
      </w:pPr>
      <w:r>
        <w:tab/>
        <w:t>BD15.15</w:t>
      </w:r>
      <w:r>
        <w:tab/>
        <w:t>Sales Forecasting</w:t>
      </w:r>
    </w:p>
    <w:p w14:paraId="05269062" w14:textId="77777777" w:rsidR="0008517D" w:rsidRDefault="0008517D" w:rsidP="0008517D">
      <w:pPr>
        <w:spacing w:after="0"/>
      </w:pPr>
      <w:r>
        <w:tab/>
        <w:t>BD15.20</w:t>
      </w:r>
      <w:r>
        <w:tab/>
        <w:t>Relationship Development and Management</w:t>
      </w:r>
    </w:p>
    <w:p w14:paraId="337DA358" w14:textId="77777777" w:rsidR="0008517D" w:rsidRDefault="0008517D" w:rsidP="0008517D">
      <w:pPr>
        <w:spacing w:after="0"/>
      </w:pPr>
      <w:r>
        <w:tab/>
        <w:t>BD15.25</w:t>
      </w:r>
      <w:r>
        <w:tab/>
        <w:t>Proposals</w:t>
      </w:r>
    </w:p>
    <w:p w14:paraId="75F03318" w14:textId="77777777" w:rsidR="0008517D" w:rsidRDefault="0008517D" w:rsidP="0008517D">
      <w:pPr>
        <w:spacing w:after="0"/>
      </w:pPr>
      <w:r>
        <w:tab/>
        <w:t>BD15.30</w:t>
      </w:r>
      <w:r>
        <w:tab/>
        <w:t>Client and Relationship Management</w:t>
      </w:r>
    </w:p>
    <w:p w14:paraId="1AE50E8A" w14:textId="77777777" w:rsidR="0008517D" w:rsidRDefault="0008517D" w:rsidP="0008517D">
      <w:pPr>
        <w:spacing w:after="0"/>
      </w:pPr>
      <w:r>
        <w:tab/>
      </w:r>
      <w:r>
        <w:tab/>
      </w:r>
    </w:p>
    <w:p w14:paraId="606B907C" w14:textId="77777777" w:rsidR="0008517D" w:rsidRPr="00C106F1" w:rsidRDefault="0008517D" w:rsidP="0008517D">
      <w:pPr>
        <w:spacing w:after="0"/>
        <w:rPr>
          <w:b/>
        </w:rPr>
      </w:pPr>
      <w:r w:rsidRPr="00C106F1">
        <w:rPr>
          <w:b/>
        </w:rPr>
        <w:t>BD20</w:t>
      </w:r>
      <w:r w:rsidRPr="00C106F1">
        <w:rPr>
          <w:b/>
        </w:rPr>
        <w:tab/>
        <w:t>Marketing</w:t>
      </w:r>
      <w:r w:rsidRPr="00C106F1">
        <w:rPr>
          <w:b/>
        </w:rPr>
        <w:tab/>
      </w:r>
    </w:p>
    <w:p w14:paraId="1992C269" w14:textId="2655D7E9" w:rsidR="0008517D" w:rsidRDefault="0008517D" w:rsidP="0008517D">
      <w:pPr>
        <w:spacing w:after="0"/>
      </w:pPr>
    </w:p>
    <w:p w14:paraId="4648BD04" w14:textId="09155C21" w:rsidR="003F7816" w:rsidRDefault="003F7816" w:rsidP="0008517D">
      <w:pPr>
        <w:spacing w:after="0"/>
      </w:pPr>
      <w:r w:rsidRPr="003F7816">
        <w:t>Communication of the value of a product, service or brand to customers or consumers for promoting or selling that product, service, or brand.</w:t>
      </w:r>
    </w:p>
    <w:p w14:paraId="55084B87" w14:textId="77777777" w:rsidR="003F7816" w:rsidRDefault="003F7816" w:rsidP="0008517D">
      <w:pPr>
        <w:spacing w:after="0"/>
      </w:pPr>
    </w:p>
    <w:p w14:paraId="3E5B9A75" w14:textId="77777777" w:rsidR="00CC19CD" w:rsidRDefault="00CC19CD" w:rsidP="00CC19CD">
      <w:pPr>
        <w:spacing w:after="0"/>
        <w:ind w:left="720"/>
      </w:pPr>
      <w:r>
        <w:t>Processes within this Substantive Area:</w:t>
      </w:r>
    </w:p>
    <w:p w14:paraId="745EC4DD" w14:textId="77777777" w:rsidR="00CC19CD" w:rsidRDefault="00CC19CD" w:rsidP="0008517D">
      <w:pPr>
        <w:spacing w:after="0"/>
      </w:pPr>
    </w:p>
    <w:p w14:paraId="2E38F60F" w14:textId="5B4154CB" w:rsidR="0008517D" w:rsidRDefault="0008517D" w:rsidP="0008517D">
      <w:pPr>
        <w:spacing w:after="0"/>
      </w:pPr>
      <w:r>
        <w:tab/>
        <w:t>BD20.10</w:t>
      </w:r>
      <w:r>
        <w:tab/>
        <w:t>Listings and Directories</w:t>
      </w:r>
    </w:p>
    <w:p w14:paraId="5A4474F7" w14:textId="77777777" w:rsidR="0008517D" w:rsidRDefault="0008517D" w:rsidP="0008517D">
      <w:pPr>
        <w:spacing w:after="0"/>
      </w:pPr>
      <w:r>
        <w:tab/>
        <w:t>BD20.15</w:t>
      </w:r>
      <w:r>
        <w:tab/>
        <w:t>Honors and Awards</w:t>
      </w:r>
    </w:p>
    <w:p w14:paraId="0F480791" w14:textId="77777777" w:rsidR="0008517D" w:rsidRDefault="0008517D" w:rsidP="0008517D">
      <w:pPr>
        <w:spacing w:after="0"/>
      </w:pPr>
      <w:r>
        <w:lastRenderedPageBreak/>
        <w:tab/>
        <w:t>BD20.20</w:t>
      </w:r>
      <w:r>
        <w:tab/>
        <w:t>Database Management (CRM)</w:t>
      </w:r>
    </w:p>
    <w:p w14:paraId="5957055D" w14:textId="77777777" w:rsidR="0008517D" w:rsidRDefault="0008517D" w:rsidP="0008517D">
      <w:pPr>
        <w:spacing w:after="0"/>
      </w:pPr>
      <w:r>
        <w:tab/>
        <w:t>BD20.25</w:t>
      </w:r>
      <w:r>
        <w:tab/>
        <w:t>Graphic Design</w:t>
      </w:r>
    </w:p>
    <w:p w14:paraId="7A75A9C2" w14:textId="77777777" w:rsidR="0008517D" w:rsidRDefault="0008517D" w:rsidP="0008517D">
      <w:pPr>
        <w:spacing w:after="0"/>
      </w:pPr>
      <w:r>
        <w:tab/>
        <w:t>BD20.30</w:t>
      </w:r>
      <w:r>
        <w:tab/>
        <w:t>Content Management</w:t>
      </w:r>
    </w:p>
    <w:p w14:paraId="0EFE63AD" w14:textId="77777777" w:rsidR="0008517D" w:rsidRDefault="0008517D" w:rsidP="0008517D">
      <w:pPr>
        <w:spacing w:after="0"/>
      </w:pPr>
      <w:r>
        <w:tab/>
        <w:t>BD20.35</w:t>
      </w:r>
      <w:r>
        <w:tab/>
        <w:t>Public (Community) Relations</w:t>
      </w:r>
    </w:p>
    <w:p w14:paraId="5042A26A" w14:textId="77777777" w:rsidR="0008517D" w:rsidRDefault="0008517D" w:rsidP="0008517D">
      <w:pPr>
        <w:spacing w:after="0"/>
      </w:pPr>
      <w:r>
        <w:tab/>
        <w:t>BD20.40</w:t>
      </w:r>
      <w:r>
        <w:tab/>
        <w:t>Media Relations and Strategy</w:t>
      </w:r>
    </w:p>
    <w:p w14:paraId="275D89B0" w14:textId="77777777" w:rsidR="0008517D" w:rsidRDefault="0008517D" w:rsidP="0008517D">
      <w:pPr>
        <w:spacing w:after="0"/>
      </w:pPr>
      <w:r>
        <w:tab/>
        <w:t>BD20.45</w:t>
      </w:r>
      <w:r>
        <w:tab/>
        <w:t>Event Planning and Management</w:t>
      </w:r>
    </w:p>
    <w:p w14:paraId="4A77DBDC" w14:textId="77777777" w:rsidR="0008517D" w:rsidRDefault="0008517D" w:rsidP="0008517D">
      <w:pPr>
        <w:spacing w:after="0"/>
      </w:pPr>
      <w:r>
        <w:tab/>
      </w:r>
      <w:r>
        <w:tab/>
      </w:r>
    </w:p>
    <w:p w14:paraId="733A663A" w14:textId="24F58546" w:rsidR="0008517D" w:rsidRDefault="0008517D" w:rsidP="00116E9D">
      <w:pPr>
        <w:pStyle w:val="Heading2"/>
      </w:pPr>
      <w:r>
        <w:t>Information Technology</w:t>
      </w:r>
      <w:r w:rsidR="00116E9D">
        <w:t xml:space="preserve"> (IT) Classification</w:t>
      </w:r>
    </w:p>
    <w:p w14:paraId="2270C113" w14:textId="77777777" w:rsidR="0008517D" w:rsidRDefault="0008517D" w:rsidP="0008517D">
      <w:pPr>
        <w:spacing w:after="0"/>
      </w:pPr>
      <w:r>
        <w:tab/>
      </w:r>
    </w:p>
    <w:p w14:paraId="5AABAF12" w14:textId="77777777" w:rsidR="0008517D" w:rsidRPr="00C106F1" w:rsidRDefault="0008517D" w:rsidP="0008517D">
      <w:pPr>
        <w:spacing w:after="0"/>
        <w:rPr>
          <w:b/>
        </w:rPr>
      </w:pPr>
      <w:r w:rsidRPr="00C106F1">
        <w:rPr>
          <w:b/>
        </w:rPr>
        <w:t>IT10</w:t>
      </w:r>
      <w:r w:rsidRPr="00C106F1">
        <w:rPr>
          <w:b/>
        </w:rPr>
        <w:tab/>
        <w:t>IT Services</w:t>
      </w:r>
      <w:r w:rsidRPr="00C106F1">
        <w:rPr>
          <w:b/>
        </w:rPr>
        <w:tab/>
      </w:r>
    </w:p>
    <w:p w14:paraId="07683616" w14:textId="0576289F" w:rsidR="0008517D" w:rsidRDefault="0008517D" w:rsidP="0008517D">
      <w:pPr>
        <w:spacing w:after="0"/>
      </w:pPr>
    </w:p>
    <w:p w14:paraId="3D815991" w14:textId="77777777" w:rsidR="003F7816" w:rsidRPr="003F7816" w:rsidRDefault="003F7816" w:rsidP="003F7816">
      <w:pPr>
        <w:spacing w:after="0" w:line="240" w:lineRule="auto"/>
        <w:outlineLvl w:val="0"/>
        <w:rPr>
          <w:rFonts w:ascii="Calibri" w:eastAsia="Times New Roman" w:hAnsi="Calibri" w:cs="Calibri"/>
        </w:rPr>
      </w:pPr>
      <w:r w:rsidRPr="003F7816">
        <w:rPr>
          <w:rFonts w:ascii="Calibri" w:eastAsia="Times New Roman" w:hAnsi="Calibri" w:cs="Calibri"/>
        </w:rPr>
        <w:t>Processes and practices that gauge the end-to-end delivery of IT solutions rather than their development. These processes measure the operational efficiency of a solution in meeting the service level expectations of the end-user and how technical IT manages these systems to deliver the desired service level.</w:t>
      </w:r>
    </w:p>
    <w:p w14:paraId="210100B4" w14:textId="77777777" w:rsidR="003F7816" w:rsidRDefault="003F7816" w:rsidP="0008517D">
      <w:pPr>
        <w:spacing w:after="0"/>
      </w:pPr>
    </w:p>
    <w:p w14:paraId="72B3394F" w14:textId="77777777" w:rsidR="00CC19CD" w:rsidRDefault="00CC19CD" w:rsidP="00CC19CD">
      <w:pPr>
        <w:spacing w:after="0"/>
        <w:ind w:left="720"/>
      </w:pPr>
      <w:r>
        <w:t>Processes within this Substantive Area:</w:t>
      </w:r>
    </w:p>
    <w:p w14:paraId="08617EB4" w14:textId="77777777" w:rsidR="00CC19CD" w:rsidRDefault="00CC19CD" w:rsidP="0008517D">
      <w:pPr>
        <w:spacing w:after="0"/>
      </w:pPr>
    </w:p>
    <w:p w14:paraId="43EF96B9" w14:textId="60AA829C" w:rsidR="0008517D" w:rsidRDefault="0008517D" w:rsidP="0008517D">
      <w:pPr>
        <w:spacing w:after="0"/>
      </w:pPr>
      <w:r>
        <w:tab/>
        <w:t>IT10.10</w:t>
      </w:r>
      <w:r>
        <w:tab/>
        <w:t>IT Solution Development</w:t>
      </w:r>
    </w:p>
    <w:p w14:paraId="597621E7" w14:textId="77777777" w:rsidR="0008517D" w:rsidRDefault="0008517D" w:rsidP="0008517D">
      <w:pPr>
        <w:spacing w:after="0"/>
      </w:pPr>
      <w:r>
        <w:tab/>
        <w:t>IT10.15</w:t>
      </w:r>
      <w:r>
        <w:tab/>
        <w:t>User Support Services</w:t>
      </w:r>
    </w:p>
    <w:p w14:paraId="23FF8DEF" w14:textId="77777777" w:rsidR="0008517D" w:rsidRDefault="0008517D" w:rsidP="0008517D">
      <w:pPr>
        <w:spacing w:after="0"/>
      </w:pPr>
    </w:p>
    <w:p w14:paraId="1DF4DCB3" w14:textId="77777777" w:rsidR="0008517D" w:rsidRPr="00C106F1" w:rsidRDefault="0008517D" w:rsidP="0008517D">
      <w:pPr>
        <w:spacing w:after="0"/>
        <w:rPr>
          <w:b/>
        </w:rPr>
      </w:pPr>
      <w:r w:rsidRPr="00C106F1">
        <w:rPr>
          <w:b/>
        </w:rPr>
        <w:t>IT15</w:t>
      </w:r>
      <w:r w:rsidRPr="00C106F1">
        <w:rPr>
          <w:b/>
        </w:rPr>
        <w:tab/>
        <w:t>IT Infrastructure</w:t>
      </w:r>
    </w:p>
    <w:p w14:paraId="55C36E75" w14:textId="5A1E87B4" w:rsidR="0008517D" w:rsidRDefault="0008517D" w:rsidP="0008517D">
      <w:pPr>
        <w:spacing w:after="0"/>
      </w:pPr>
      <w:r>
        <w:tab/>
      </w:r>
    </w:p>
    <w:p w14:paraId="6048EB0A" w14:textId="54C4301A" w:rsidR="003F7816" w:rsidRDefault="003F7816" w:rsidP="0008517D">
      <w:pPr>
        <w:spacing w:after="0"/>
      </w:pPr>
      <w:r w:rsidRPr="003F7816">
        <w:t>The composite hardware, software, network resources and services required for the existence, operation and management of an enterprise IT environment.</w:t>
      </w:r>
    </w:p>
    <w:p w14:paraId="592A5380" w14:textId="77777777" w:rsidR="003F7816" w:rsidRDefault="003F7816" w:rsidP="0008517D">
      <w:pPr>
        <w:spacing w:after="0"/>
      </w:pPr>
    </w:p>
    <w:p w14:paraId="1F4685AD" w14:textId="77777777" w:rsidR="00CC19CD" w:rsidRDefault="00CC19CD" w:rsidP="00CC19CD">
      <w:pPr>
        <w:spacing w:after="0"/>
        <w:ind w:left="720"/>
      </w:pPr>
      <w:r>
        <w:t>Processes within this Substantive Area:</w:t>
      </w:r>
    </w:p>
    <w:p w14:paraId="0F9E75BD" w14:textId="77777777" w:rsidR="00CC19CD" w:rsidRDefault="00CC19CD" w:rsidP="0008517D">
      <w:pPr>
        <w:spacing w:after="0"/>
      </w:pPr>
    </w:p>
    <w:p w14:paraId="45715785" w14:textId="6F82FFDB" w:rsidR="0008517D" w:rsidRDefault="0008517D" w:rsidP="0008517D">
      <w:pPr>
        <w:spacing w:after="0"/>
      </w:pPr>
      <w:r>
        <w:tab/>
        <w:t>IT15.10</w:t>
      </w:r>
      <w:r>
        <w:tab/>
        <w:t>IT System Integration</w:t>
      </w:r>
    </w:p>
    <w:p w14:paraId="28375B11" w14:textId="77777777" w:rsidR="0008517D" w:rsidRDefault="0008517D" w:rsidP="0008517D">
      <w:pPr>
        <w:spacing w:after="0"/>
      </w:pPr>
      <w:r>
        <w:tab/>
        <w:t>IT15.15</w:t>
      </w:r>
      <w:r>
        <w:tab/>
        <w:t>Computer/Copier Management</w:t>
      </w:r>
    </w:p>
    <w:p w14:paraId="6EAD552B" w14:textId="77777777" w:rsidR="0008517D" w:rsidRDefault="0008517D" w:rsidP="0008517D">
      <w:pPr>
        <w:spacing w:after="0"/>
      </w:pPr>
      <w:r>
        <w:tab/>
        <w:t>IT15.20</w:t>
      </w:r>
      <w:r>
        <w:tab/>
        <w:t>Peripheral Management</w:t>
      </w:r>
    </w:p>
    <w:p w14:paraId="0AA94318" w14:textId="77777777" w:rsidR="0008517D" w:rsidRDefault="0008517D" w:rsidP="0008517D">
      <w:pPr>
        <w:spacing w:after="0"/>
      </w:pPr>
      <w:r>
        <w:tab/>
        <w:t>IT15.25</w:t>
      </w:r>
      <w:r>
        <w:tab/>
        <w:t>Network Management</w:t>
      </w:r>
    </w:p>
    <w:p w14:paraId="1A7F958F" w14:textId="77777777" w:rsidR="0008517D" w:rsidRDefault="0008517D" w:rsidP="0008517D">
      <w:pPr>
        <w:spacing w:after="0"/>
      </w:pPr>
      <w:r>
        <w:tab/>
      </w:r>
      <w:r>
        <w:tab/>
      </w:r>
    </w:p>
    <w:p w14:paraId="2B995E60" w14:textId="1E0A2425" w:rsidR="0008517D" w:rsidRDefault="0008517D" w:rsidP="00CC19CD">
      <w:pPr>
        <w:pStyle w:val="Heading2"/>
      </w:pPr>
      <w:r>
        <w:t>Leadership and Management</w:t>
      </w:r>
      <w:r w:rsidR="00CC19CD">
        <w:t xml:space="preserve"> (LM) Classification</w:t>
      </w:r>
    </w:p>
    <w:p w14:paraId="35C65108" w14:textId="77777777" w:rsidR="0008517D" w:rsidRDefault="0008517D" w:rsidP="0008517D">
      <w:pPr>
        <w:spacing w:after="0"/>
      </w:pPr>
      <w:r>
        <w:tab/>
      </w:r>
    </w:p>
    <w:p w14:paraId="141F76AD" w14:textId="77777777" w:rsidR="0008517D" w:rsidRPr="00C106F1" w:rsidRDefault="0008517D" w:rsidP="0008517D">
      <w:pPr>
        <w:spacing w:after="0"/>
        <w:rPr>
          <w:b/>
        </w:rPr>
      </w:pPr>
      <w:r w:rsidRPr="00C106F1">
        <w:rPr>
          <w:b/>
        </w:rPr>
        <w:t>LM10</w:t>
      </w:r>
      <w:r w:rsidRPr="00C106F1">
        <w:rPr>
          <w:b/>
        </w:rPr>
        <w:tab/>
        <w:t>Organizational Management</w:t>
      </w:r>
      <w:r w:rsidRPr="00C106F1">
        <w:rPr>
          <w:b/>
        </w:rPr>
        <w:tab/>
      </w:r>
    </w:p>
    <w:p w14:paraId="16188B5D" w14:textId="196685DD" w:rsidR="0008517D" w:rsidRDefault="0008517D" w:rsidP="0008517D">
      <w:pPr>
        <w:spacing w:after="0"/>
      </w:pPr>
    </w:p>
    <w:p w14:paraId="0D2A3413" w14:textId="0B1FB2E4" w:rsidR="003F7816" w:rsidRDefault="003F7816" w:rsidP="0008517D">
      <w:pPr>
        <w:spacing w:after="0"/>
      </w:pPr>
      <w:r w:rsidRPr="003F7816">
        <w:t>The responsibilities of leadership in relation to the performance of the organization, including those of senior executives. There is a focus on relationships and critical areas of organizational functioning that should be led by members of the leadership team as individuals.  These activities also identify the senior level operations that underpin peak organizational performance, including governance, risk, strategy, finance and management relations.</w:t>
      </w:r>
    </w:p>
    <w:p w14:paraId="079A5BBA" w14:textId="77777777" w:rsidR="003F7816" w:rsidRDefault="003F7816" w:rsidP="0008517D">
      <w:pPr>
        <w:spacing w:after="0"/>
      </w:pPr>
    </w:p>
    <w:p w14:paraId="4D178CD4" w14:textId="77777777" w:rsidR="00CC19CD" w:rsidRDefault="00CC19CD" w:rsidP="00CC19CD">
      <w:pPr>
        <w:spacing w:after="0"/>
        <w:ind w:left="720"/>
      </w:pPr>
      <w:r>
        <w:t>Processes within this Substantive Area:</w:t>
      </w:r>
    </w:p>
    <w:p w14:paraId="7B16EE0B" w14:textId="77777777" w:rsidR="00CC19CD" w:rsidRDefault="00CC19CD" w:rsidP="0008517D">
      <w:pPr>
        <w:spacing w:after="0"/>
      </w:pPr>
    </w:p>
    <w:p w14:paraId="46A73152" w14:textId="1B82918F" w:rsidR="0008517D" w:rsidRDefault="0008517D" w:rsidP="0008517D">
      <w:pPr>
        <w:spacing w:after="0"/>
      </w:pPr>
      <w:r>
        <w:tab/>
        <w:t>LM10.10</w:t>
      </w:r>
      <w:r>
        <w:tab/>
        <w:t>Strategy</w:t>
      </w:r>
    </w:p>
    <w:p w14:paraId="171BFC05" w14:textId="77777777" w:rsidR="0008517D" w:rsidRDefault="0008517D" w:rsidP="0008517D">
      <w:pPr>
        <w:spacing w:after="0"/>
      </w:pPr>
      <w:r>
        <w:tab/>
        <w:t>LM10.15</w:t>
      </w:r>
      <w:r>
        <w:tab/>
        <w:t>Culture</w:t>
      </w:r>
    </w:p>
    <w:p w14:paraId="27A00E81" w14:textId="77777777" w:rsidR="0008517D" w:rsidRDefault="0008517D" w:rsidP="0008517D">
      <w:pPr>
        <w:spacing w:after="0"/>
      </w:pPr>
      <w:r>
        <w:tab/>
        <w:t>LM10.20</w:t>
      </w:r>
      <w:r>
        <w:tab/>
        <w:t>Governance Policies and Assurances</w:t>
      </w:r>
    </w:p>
    <w:p w14:paraId="425937AA" w14:textId="77777777" w:rsidR="0008517D" w:rsidRDefault="0008517D" w:rsidP="0008517D">
      <w:pPr>
        <w:spacing w:after="0"/>
      </w:pPr>
      <w:r>
        <w:tab/>
        <w:t>LM10.25</w:t>
      </w:r>
      <w:r>
        <w:tab/>
        <w:t>Performance Monitoring</w:t>
      </w:r>
    </w:p>
    <w:p w14:paraId="73B95590" w14:textId="77777777" w:rsidR="0008517D" w:rsidRDefault="0008517D" w:rsidP="0008517D">
      <w:pPr>
        <w:spacing w:after="0"/>
      </w:pPr>
      <w:r>
        <w:tab/>
        <w:t>LM10.30</w:t>
      </w:r>
      <w:r>
        <w:tab/>
        <w:t>Risk Standards</w:t>
      </w:r>
    </w:p>
    <w:p w14:paraId="2814693A" w14:textId="77777777" w:rsidR="0008517D" w:rsidRDefault="0008517D" w:rsidP="0008517D">
      <w:pPr>
        <w:spacing w:after="0"/>
      </w:pPr>
      <w:r>
        <w:tab/>
      </w:r>
      <w:r>
        <w:tab/>
      </w:r>
    </w:p>
    <w:p w14:paraId="3215AFE9" w14:textId="77777777" w:rsidR="0008517D" w:rsidRPr="00C106F1" w:rsidRDefault="0008517D" w:rsidP="0008517D">
      <w:pPr>
        <w:spacing w:after="0"/>
        <w:rPr>
          <w:b/>
        </w:rPr>
      </w:pPr>
      <w:r w:rsidRPr="00C106F1">
        <w:rPr>
          <w:b/>
        </w:rPr>
        <w:t>LM15</w:t>
      </w:r>
      <w:r w:rsidRPr="00C106F1">
        <w:rPr>
          <w:b/>
        </w:rPr>
        <w:tab/>
        <w:t>Operational Management</w:t>
      </w:r>
      <w:r w:rsidRPr="00C106F1">
        <w:rPr>
          <w:b/>
        </w:rPr>
        <w:tab/>
      </w:r>
    </w:p>
    <w:p w14:paraId="050A4F52" w14:textId="2E87209D" w:rsidR="0008517D" w:rsidRDefault="0008517D" w:rsidP="0008517D">
      <w:pPr>
        <w:spacing w:after="0"/>
      </w:pPr>
    </w:p>
    <w:p w14:paraId="10FAECF2" w14:textId="586AEF2D" w:rsidR="003F7816" w:rsidRDefault="003F7816" w:rsidP="0008517D">
      <w:pPr>
        <w:spacing w:after="0"/>
      </w:pPr>
      <w:r w:rsidRPr="003F7816">
        <w:t xml:space="preserve">The design, execution, and day-to-day control of personnel and other resources for producing and delivering desired goods and services that support the organization's business strategy.  </w:t>
      </w:r>
    </w:p>
    <w:p w14:paraId="6C8395D4" w14:textId="77777777" w:rsidR="003F7816" w:rsidRDefault="003F7816" w:rsidP="0008517D">
      <w:pPr>
        <w:spacing w:after="0"/>
      </w:pPr>
    </w:p>
    <w:p w14:paraId="39B706B2" w14:textId="77777777" w:rsidR="00CC19CD" w:rsidRDefault="00CC19CD" w:rsidP="00CC19CD">
      <w:pPr>
        <w:spacing w:after="0"/>
        <w:ind w:left="720"/>
      </w:pPr>
      <w:r>
        <w:t>Processes within this Substantive Area:</w:t>
      </w:r>
    </w:p>
    <w:p w14:paraId="3E87A14C" w14:textId="77777777" w:rsidR="00CC19CD" w:rsidRDefault="00CC19CD" w:rsidP="0008517D">
      <w:pPr>
        <w:spacing w:after="0"/>
      </w:pPr>
    </w:p>
    <w:p w14:paraId="7791AFD0" w14:textId="3D88A751" w:rsidR="0008517D" w:rsidRDefault="0008517D" w:rsidP="0008517D">
      <w:pPr>
        <w:spacing w:after="0"/>
      </w:pPr>
      <w:r>
        <w:tab/>
        <w:t>LM15.10</w:t>
      </w:r>
      <w:r>
        <w:tab/>
        <w:t>Personnel Management</w:t>
      </w:r>
    </w:p>
    <w:p w14:paraId="2B12B327" w14:textId="77777777" w:rsidR="0008517D" w:rsidRDefault="0008517D" w:rsidP="0008517D">
      <w:pPr>
        <w:spacing w:after="0"/>
      </w:pPr>
      <w:r>
        <w:tab/>
        <w:t>LM15.15</w:t>
      </w:r>
      <w:r>
        <w:tab/>
        <w:t>Policies and Procedures</w:t>
      </w:r>
    </w:p>
    <w:p w14:paraId="076FAAED" w14:textId="77777777" w:rsidR="0008517D" w:rsidRDefault="0008517D" w:rsidP="0008517D">
      <w:pPr>
        <w:spacing w:after="0"/>
      </w:pPr>
      <w:r>
        <w:tab/>
        <w:t>LM15.20</w:t>
      </w:r>
      <w:r>
        <w:tab/>
        <w:t>Strategic Alignment</w:t>
      </w:r>
    </w:p>
    <w:p w14:paraId="61FCEBB6" w14:textId="77777777" w:rsidR="0008517D" w:rsidRDefault="0008517D" w:rsidP="0008517D">
      <w:pPr>
        <w:spacing w:after="0"/>
      </w:pPr>
      <w:r>
        <w:tab/>
        <w:t>LM15.25</w:t>
      </w:r>
      <w:r>
        <w:tab/>
        <w:t>Information Management</w:t>
      </w:r>
    </w:p>
    <w:p w14:paraId="3EEB8600" w14:textId="77777777" w:rsidR="0008517D" w:rsidRDefault="0008517D" w:rsidP="0008517D">
      <w:pPr>
        <w:spacing w:after="0"/>
      </w:pPr>
      <w:r>
        <w:tab/>
        <w:t>LM15.30</w:t>
      </w:r>
      <w:r>
        <w:tab/>
        <w:t>Industry Surveys</w:t>
      </w:r>
    </w:p>
    <w:p w14:paraId="6C808284" w14:textId="77777777" w:rsidR="0008517D" w:rsidRDefault="0008517D" w:rsidP="0008517D">
      <w:pPr>
        <w:spacing w:after="0"/>
      </w:pPr>
      <w:r>
        <w:tab/>
        <w:t>LM15.35</w:t>
      </w:r>
      <w:r>
        <w:tab/>
        <w:t>Procurement</w:t>
      </w:r>
    </w:p>
    <w:p w14:paraId="191BFDF6" w14:textId="77777777" w:rsidR="0008517D" w:rsidRDefault="0008517D" w:rsidP="0008517D">
      <w:pPr>
        <w:spacing w:after="0"/>
      </w:pPr>
      <w:r>
        <w:tab/>
        <w:t>LM15.40</w:t>
      </w:r>
      <w:r>
        <w:tab/>
        <w:t>Supplier Relationship Management (SRM)</w:t>
      </w:r>
    </w:p>
    <w:p w14:paraId="61EA9185" w14:textId="77777777" w:rsidR="0008517D" w:rsidRDefault="0008517D" w:rsidP="0008517D">
      <w:pPr>
        <w:spacing w:after="0"/>
      </w:pPr>
      <w:r>
        <w:tab/>
      </w:r>
      <w:r>
        <w:tab/>
      </w:r>
    </w:p>
    <w:p w14:paraId="7EDD7C45" w14:textId="77777777" w:rsidR="0008517D" w:rsidRPr="00C106F1" w:rsidRDefault="0008517D" w:rsidP="0008517D">
      <w:pPr>
        <w:spacing w:after="0"/>
        <w:rPr>
          <w:b/>
        </w:rPr>
      </w:pPr>
      <w:r w:rsidRPr="00C106F1">
        <w:rPr>
          <w:b/>
        </w:rPr>
        <w:t>LM20</w:t>
      </w:r>
      <w:r w:rsidRPr="00C106F1">
        <w:rPr>
          <w:b/>
        </w:rPr>
        <w:tab/>
        <w:t>Investor (Owner) Relations</w:t>
      </w:r>
      <w:r w:rsidRPr="00C106F1">
        <w:rPr>
          <w:b/>
        </w:rPr>
        <w:tab/>
      </w:r>
    </w:p>
    <w:p w14:paraId="11F564EC" w14:textId="405343A3" w:rsidR="0008517D" w:rsidRDefault="0008517D" w:rsidP="0008517D">
      <w:pPr>
        <w:spacing w:after="0"/>
      </w:pPr>
    </w:p>
    <w:p w14:paraId="55568C85" w14:textId="65A1BA10" w:rsidR="003F7816" w:rsidRDefault="003F7816" w:rsidP="0008517D">
      <w:pPr>
        <w:spacing w:after="0"/>
      </w:pPr>
      <w:r w:rsidRPr="003F7816">
        <w:t>Interaction between leadership and investors (owners). This is the inward focus leadership needs to consider in carrying out leadership responsibilities. It reflects moves that directly affect shareholder or company value.</w:t>
      </w:r>
    </w:p>
    <w:p w14:paraId="086BE6EF" w14:textId="77777777" w:rsidR="003F7816" w:rsidRDefault="003F7816" w:rsidP="0008517D">
      <w:pPr>
        <w:spacing w:after="0"/>
      </w:pPr>
    </w:p>
    <w:p w14:paraId="7443B666" w14:textId="77777777" w:rsidR="00CC19CD" w:rsidRDefault="00CC19CD" w:rsidP="00CC19CD">
      <w:pPr>
        <w:spacing w:after="0"/>
        <w:ind w:left="720"/>
      </w:pPr>
      <w:r>
        <w:t>Processes within this Substantive Area:</w:t>
      </w:r>
    </w:p>
    <w:p w14:paraId="379B8212" w14:textId="77777777" w:rsidR="00CC19CD" w:rsidRDefault="00CC19CD" w:rsidP="0008517D">
      <w:pPr>
        <w:spacing w:after="0"/>
      </w:pPr>
    </w:p>
    <w:p w14:paraId="0E2D5CF9" w14:textId="64B9666E" w:rsidR="0008517D" w:rsidRDefault="0008517D" w:rsidP="0008517D">
      <w:pPr>
        <w:spacing w:after="0"/>
      </w:pPr>
      <w:r>
        <w:tab/>
        <w:t>LM20.10</w:t>
      </w:r>
      <w:r>
        <w:tab/>
        <w:t>Communications</w:t>
      </w:r>
    </w:p>
    <w:p w14:paraId="7D546883" w14:textId="77777777" w:rsidR="0008517D" w:rsidRDefault="0008517D" w:rsidP="0008517D">
      <w:pPr>
        <w:spacing w:after="0"/>
      </w:pPr>
      <w:r>
        <w:tab/>
        <w:t>LM20.15</w:t>
      </w:r>
      <w:r>
        <w:tab/>
        <w:t>Monitoring</w:t>
      </w:r>
    </w:p>
    <w:p w14:paraId="2A3A624D" w14:textId="77777777" w:rsidR="0008517D" w:rsidRDefault="0008517D" w:rsidP="0008517D">
      <w:pPr>
        <w:spacing w:after="0"/>
      </w:pPr>
      <w:r>
        <w:tab/>
        <w:t>LM20.20</w:t>
      </w:r>
      <w:r>
        <w:tab/>
        <w:t>Analysis</w:t>
      </w:r>
    </w:p>
    <w:p w14:paraId="1CD9EF6E" w14:textId="77777777" w:rsidR="0008517D" w:rsidRDefault="0008517D" w:rsidP="0008517D">
      <w:pPr>
        <w:spacing w:after="0"/>
      </w:pPr>
      <w:r>
        <w:tab/>
      </w:r>
      <w:r>
        <w:tab/>
      </w:r>
    </w:p>
    <w:p w14:paraId="6FC2FF10" w14:textId="77777777" w:rsidR="0008517D" w:rsidRPr="00C106F1" w:rsidRDefault="0008517D" w:rsidP="0008517D">
      <w:pPr>
        <w:spacing w:after="0"/>
        <w:rPr>
          <w:b/>
        </w:rPr>
      </w:pPr>
      <w:r w:rsidRPr="00C106F1">
        <w:rPr>
          <w:b/>
        </w:rPr>
        <w:t>LM25</w:t>
      </w:r>
      <w:r w:rsidRPr="00C106F1">
        <w:rPr>
          <w:b/>
        </w:rPr>
        <w:tab/>
        <w:t>Leadership Relations</w:t>
      </w:r>
      <w:r w:rsidRPr="00C106F1">
        <w:rPr>
          <w:b/>
        </w:rPr>
        <w:tab/>
      </w:r>
    </w:p>
    <w:p w14:paraId="26BFFA2E" w14:textId="7D371498" w:rsidR="0008517D" w:rsidRDefault="0008517D" w:rsidP="0008517D">
      <w:pPr>
        <w:spacing w:after="0"/>
      </w:pPr>
    </w:p>
    <w:p w14:paraId="451E0DBE" w14:textId="44757EAE" w:rsidR="003F7816" w:rsidRDefault="003F7816" w:rsidP="0008517D">
      <w:pPr>
        <w:spacing w:after="0"/>
      </w:pPr>
      <w:r w:rsidRPr="003F7816">
        <w:t>The practices governing the management and operation of the leadership team.  Activities encompass organization and roles, procedures and process, and legal standards.</w:t>
      </w:r>
    </w:p>
    <w:p w14:paraId="6A89B78B" w14:textId="77777777" w:rsidR="003F7816" w:rsidRDefault="003F7816" w:rsidP="0008517D">
      <w:pPr>
        <w:spacing w:after="0"/>
      </w:pPr>
    </w:p>
    <w:p w14:paraId="63D9CCE5" w14:textId="77777777" w:rsidR="00CC19CD" w:rsidRDefault="00CC19CD" w:rsidP="00CC19CD">
      <w:pPr>
        <w:spacing w:after="0"/>
        <w:ind w:left="720"/>
      </w:pPr>
      <w:r>
        <w:t>Processes within this Substantive Area:</w:t>
      </w:r>
    </w:p>
    <w:p w14:paraId="6493E885" w14:textId="77777777" w:rsidR="00CC19CD" w:rsidRDefault="00CC19CD" w:rsidP="0008517D">
      <w:pPr>
        <w:spacing w:after="0"/>
      </w:pPr>
    </w:p>
    <w:p w14:paraId="2DED89CF" w14:textId="35965DA9" w:rsidR="0008517D" w:rsidRDefault="0008517D" w:rsidP="0008517D">
      <w:pPr>
        <w:spacing w:after="0"/>
      </w:pPr>
      <w:r>
        <w:tab/>
        <w:t>LM25.10</w:t>
      </w:r>
      <w:r>
        <w:tab/>
        <w:t>Organization and Roles</w:t>
      </w:r>
    </w:p>
    <w:p w14:paraId="0CCC8E8A" w14:textId="77777777" w:rsidR="0008517D" w:rsidRDefault="0008517D" w:rsidP="0008517D">
      <w:pPr>
        <w:spacing w:after="0"/>
      </w:pPr>
      <w:r>
        <w:tab/>
        <w:t>LM25.15</w:t>
      </w:r>
      <w:r>
        <w:tab/>
        <w:t xml:space="preserve">Procedures and Process </w:t>
      </w:r>
    </w:p>
    <w:p w14:paraId="1E84EA6C" w14:textId="77777777" w:rsidR="0008517D" w:rsidRDefault="0008517D" w:rsidP="0008517D">
      <w:pPr>
        <w:spacing w:after="0"/>
      </w:pPr>
      <w:r>
        <w:tab/>
        <w:t>LM25.20</w:t>
      </w:r>
      <w:r>
        <w:tab/>
        <w:t>Legal Standards</w:t>
      </w:r>
    </w:p>
    <w:p w14:paraId="6C22041A" w14:textId="77777777" w:rsidR="0008517D" w:rsidRDefault="0008517D" w:rsidP="0008517D">
      <w:pPr>
        <w:spacing w:after="0"/>
      </w:pPr>
      <w:r>
        <w:tab/>
      </w:r>
      <w:r>
        <w:tab/>
      </w:r>
    </w:p>
    <w:p w14:paraId="70045599" w14:textId="77777777" w:rsidR="0008517D" w:rsidRPr="00C106F1" w:rsidRDefault="0008517D" w:rsidP="0008517D">
      <w:pPr>
        <w:spacing w:after="0"/>
        <w:rPr>
          <w:b/>
        </w:rPr>
      </w:pPr>
      <w:r w:rsidRPr="00C106F1">
        <w:rPr>
          <w:b/>
        </w:rPr>
        <w:t>LM30</w:t>
      </w:r>
      <w:r w:rsidRPr="00C106F1">
        <w:rPr>
          <w:b/>
        </w:rPr>
        <w:tab/>
        <w:t>Stakeholder Relations</w:t>
      </w:r>
      <w:r w:rsidRPr="00C106F1">
        <w:rPr>
          <w:b/>
        </w:rPr>
        <w:tab/>
      </w:r>
    </w:p>
    <w:p w14:paraId="7154CE08" w14:textId="26B959CB" w:rsidR="0008517D" w:rsidRDefault="0008517D" w:rsidP="0008517D">
      <w:pPr>
        <w:spacing w:after="0"/>
      </w:pPr>
    </w:p>
    <w:p w14:paraId="2FB698F0" w14:textId="42CF7A59" w:rsidR="003F7816" w:rsidRDefault="003F7816" w:rsidP="0008517D">
      <w:pPr>
        <w:spacing w:after="0"/>
      </w:pPr>
      <w:r w:rsidRPr="003F7816">
        <w:t>Interaction between leadership and non-owner stakeholders (customers, management, employees, government, and the community). This is the outward focus leadership need to consider in carrying out leadership responsibilities. It reflects moves beyond shareholders to a broader range of stakeholders.</w:t>
      </w:r>
    </w:p>
    <w:p w14:paraId="2C95785B" w14:textId="77777777" w:rsidR="003F7816" w:rsidRDefault="003F7816" w:rsidP="0008517D">
      <w:pPr>
        <w:spacing w:after="0"/>
      </w:pPr>
    </w:p>
    <w:p w14:paraId="0DB88529" w14:textId="77777777" w:rsidR="00CC19CD" w:rsidRDefault="00CC19CD" w:rsidP="00CC19CD">
      <w:pPr>
        <w:spacing w:after="0"/>
        <w:ind w:left="720"/>
      </w:pPr>
      <w:r>
        <w:t>Processes within this Substantive Area:</w:t>
      </w:r>
    </w:p>
    <w:p w14:paraId="77AD77D6" w14:textId="77777777" w:rsidR="00CC19CD" w:rsidRDefault="00CC19CD" w:rsidP="0008517D">
      <w:pPr>
        <w:spacing w:after="0"/>
      </w:pPr>
    </w:p>
    <w:p w14:paraId="5D71080F" w14:textId="7AD926AB" w:rsidR="0008517D" w:rsidRDefault="0008517D" w:rsidP="0008517D">
      <w:pPr>
        <w:spacing w:after="0"/>
      </w:pPr>
      <w:r>
        <w:tab/>
        <w:t>LM30.10</w:t>
      </w:r>
      <w:r>
        <w:tab/>
        <w:t>Spokesperson Selection</w:t>
      </w:r>
    </w:p>
    <w:p w14:paraId="544F0ABA" w14:textId="77777777" w:rsidR="0008517D" w:rsidRDefault="0008517D" w:rsidP="0008517D">
      <w:pPr>
        <w:spacing w:after="0"/>
      </w:pPr>
      <w:r>
        <w:tab/>
        <w:t>LM30.15</w:t>
      </w:r>
      <w:r>
        <w:tab/>
        <w:t>Goals and Objectives</w:t>
      </w:r>
    </w:p>
    <w:p w14:paraId="775B7542" w14:textId="77777777" w:rsidR="0008517D" w:rsidRDefault="0008517D" w:rsidP="0008517D">
      <w:pPr>
        <w:spacing w:after="0"/>
      </w:pPr>
      <w:r>
        <w:tab/>
        <w:t>LM30.20</w:t>
      </w:r>
      <w:r>
        <w:tab/>
        <w:t>Planning</w:t>
      </w:r>
    </w:p>
    <w:p w14:paraId="0AAE5034" w14:textId="77777777" w:rsidR="0008517D" w:rsidRDefault="0008517D" w:rsidP="0008517D">
      <w:pPr>
        <w:spacing w:after="0"/>
      </w:pPr>
      <w:r>
        <w:tab/>
        <w:t>LM30.25</w:t>
      </w:r>
      <w:r>
        <w:tab/>
        <w:t>Implementation</w:t>
      </w:r>
    </w:p>
    <w:p w14:paraId="5C478BAB" w14:textId="77777777" w:rsidR="0008517D" w:rsidRDefault="0008517D" w:rsidP="0008517D">
      <w:pPr>
        <w:spacing w:after="0"/>
      </w:pPr>
    </w:p>
    <w:p w14:paraId="3FC6027A" w14:textId="77777777" w:rsidR="0008517D" w:rsidRPr="00C106F1" w:rsidRDefault="0008517D" w:rsidP="0008517D">
      <w:pPr>
        <w:spacing w:after="0"/>
        <w:rPr>
          <w:b/>
        </w:rPr>
      </w:pPr>
      <w:r w:rsidRPr="00C106F1">
        <w:rPr>
          <w:b/>
        </w:rPr>
        <w:t>LM35</w:t>
      </w:r>
      <w:r w:rsidRPr="00C106F1">
        <w:rPr>
          <w:b/>
        </w:rPr>
        <w:tab/>
        <w:t>Strategic Initiatives</w:t>
      </w:r>
      <w:r w:rsidRPr="00C106F1">
        <w:rPr>
          <w:b/>
        </w:rPr>
        <w:tab/>
      </w:r>
    </w:p>
    <w:p w14:paraId="2A59D69E" w14:textId="04CF7537" w:rsidR="0008517D" w:rsidRPr="00C106F1" w:rsidRDefault="0008517D" w:rsidP="0008517D">
      <w:pPr>
        <w:spacing w:after="0"/>
      </w:pPr>
    </w:p>
    <w:p w14:paraId="25D06F03" w14:textId="721D7808" w:rsidR="00C106F1" w:rsidRPr="00C106F1" w:rsidRDefault="00C106F1" w:rsidP="0008517D">
      <w:pPr>
        <w:spacing w:after="0"/>
      </w:pPr>
      <w:r w:rsidRPr="00C106F1">
        <w:t>The means through which a vision is translated into practice. Collections of finite-duration discretionary projects and programs, outside of the organization's day-to-day operational activities, that are designed to help the organization achieve its targeted performance.</w:t>
      </w:r>
    </w:p>
    <w:p w14:paraId="6F92CE54" w14:textId="77777777" w:rsidR="00C106F1" w:rsidRPr="00C106F1" w:rsidRDefault="00C106F1" w:rsidP="0008517D">
      <w:pPr>
        <w:spacing w:after="0"/>
        <w:rPr>
          <w:b/>
        </w:rPr>
      </w:pPr>
    </w:p>
    <w:p w14:paraId="194C2523" w14:textId="77777777" w:rsidR="00CC19CD" w:rsidRDefault="00CC19CD" w:rsidP="00CC19CD">
      <w:pPr>
        <w:spacing w:after="0"/>
        <w:ind w:left="720"/>
      </w:pPr>
      <w:r>
        <w:t>Processes within this Substantive Area:</w:t>
      </w:r>
    </w:p>
    <w:p w14:paraId="4D5695AA" w14:textId="77777777" w:rsidR="00CC19CD" w:rsidRDefault="00CC19CD" w:rsidP="0008517D">
      <w:pPr>
        <w:spacing w:after="0"/>
      </w:pPr>
    </w:p>
    <w:p w14:paraId="538B2C23" w14:textId="19397BFF" w:rsidR="0008517D" w:rsidRDefault="0008517D" w:rsidP="0008517D">
      <w:pPr>
        <w:spacing w:after="0"/>
      </w:pPr>
      <w:r>
        <w:tab/>
        <w:t>LM35.10</w:t>
      </w:r>
      <w:r>
        <w:tab/>
        <w:t>Knowledge Management</w:t>
      </w:r>
    </w:p>
    <w:p w14:paraId="1D291229" w14:textId="77777777" w:rsidR="0008517D" w:rsidRDefault="0008517D" w:rsidP="0008517D">
      <w:pPr>
        <w:spacing w:after="0"/>
      </w:pPr>
      <w:r>
        <w:tab/>
        <w:t>LM35.15</w:t>
      </w:r>
      <w:r>
        <w:tab/>
        <w:t>Information Governance</w:t>
      </w:r>
    </w:p>
    <w:p w14:paraId="4BAA6165" w14:textId="77777777" w:rsidR="0008517D" w:rsidRDefault="0008517D" w:rsidP="0008517D">
      <w:pPr>
        <w:spacing w:after="0"/>
      </w:pPr>
      <w:r>
        <w:tab/>
        <w:t>LM35.20</w:t>
      </w:r>
      <w:r>
        <w:tab/>
        <w:t>Organizational Development</w:t>
      </w:r>
    </w:p>
    <w:p w14:paraId="626749DD" w14:textId="77777777" w:rsidR="0008517D" w:rsidRDefault="0008517D" w:rsidP="0008517D">
      <w:pPr>
        <w:spacing w:after="0"/>
      </w:pPr>
    </w:p>
    <w:p w14:paraId="2F898BE3" w14:textId="77777777" w:rsidR="0008517D" w:rsidRPr="00C106F1" w:rsidRDefault="0008517D" w:rsidP="0008517D">
      <w:pPr>
        <w:spacing w:after="0"/>
        <w:rPr>
          <w:b/>
        </w:rPr>
      </w:pPr>
      <w:r w:rsidRPr="00C106F1">
        <w:rPr>
          <w:b/>
        </w:rPr>
        <w:t>LM40</w:t>
      </w:r>
      <w:r w:rsidRPr="00C106F1">
        <w:rPr>
          <w:b/>
        </w:rPr>
        <w:tab/>
        <w:t>Tactical Initiatives</w:t>
      </w:r>
      <w:r w:rsidRPr="00C106F1">
        <w:rPr>
          <w:b/>
        </w:rPr>
        <w:tab/>
      </w:r>
    </w:p>
    <w:p w14:paraId="4AC84CD2" w14:textId="72E757D4" w:rsidR="0008517D" w:rsidRDefault="0008517D" w:rsidP="0008517D">
      <w:pPr>
        <w:spacing w:after="0"/>
      </w:pPr>
    </w:p>
    <w:p w14:paraId="30215C8C" w14:textId="57E653FD" w:rsidR="00C106F1" w:rsidRDefault="00C106F1" w:rsidP="0008517D">
      <w:pPr>
        <w:spacing w:after="0"/>
      </w:pPr>
      <w:r w:rsidRPr="00C106F1">
        <w:t>The means through which a strategy is translated into practice. Collections of short to mid-duration discretionary projects and programs, outside of the organization's day-to-day operational activities, that are designed to help the organization achieve its targeted performance.</w:t>
      </w:r>
    </w:p>
    <w:p w14:paraId="3A30FFBB" w14:textId="77777777" w:rsidR="00C106F1" w:rsidRDefault="00C106F1" w:rsidP="0008517D">
      <w:pPr>
        <w:spacing w:after="0"/>
      </w:pPr>
    </w:p>
    <w:p w14:paraId="54DB478C" w14:textId="77777777" w:rsidR="00CC19CD" w:rsidRDefault="00CC19CD" w:rsidP="00CC19CD">
      <w:pPr>
        <w:spacing w:after="0"/>
        <w:ind w:left="720"/>
      </w:pPr>
      <w:r>
        <w:t>Processes within this Substantive Area:</w:t>
      </w:r>
    </w:p>
    <w:p w14:paraId="7C95B89F" w14:textId="77777777" w:rsidR="00CC19CD" w:rsidRDefault="00CC19CD" w:rsidP="0008517D">
      <w:pPr>
        <w:spacing w:after="0"/>
      </w:pPr>
    </w:p>
    <w:p w14:paraId="0137E777" w14:textId="7B54BAF8" w:rsidR="0008517D" w:rsidRDefault="0008517D" w:rsidP="0008517D">
      <w:pPr>
        <w:spacing w:after="0"/>
      </w:pPr>
      <w:r>
        <w:tab/>
        <w:t>LM40.10</w:t>
      </w:r>
      <w:r>
        <w:tab/>
        <w:t>Process Improvement (Lean/Six Sigma)</w:t>
      </w:r>
    </w:p>
    <w:p w14:paraId="58B7652B" w14:textId="77777777" w:rsidR="0008517D" w:rsidRDefault="0008517D" w:rsidP="0008517D">
      <w:pPr>
        <w:spacing w:after="0"/>
      </w:pPr>
      <w:r>
        <w:tab/>
        <w:t>LM40.15</w:t>
      </w:r>
      <w:r>
        <w:tab/>
        <w:t>Project Management</w:t>
      </w:r>
    </w:p>
    <w:p w14:paraId="0EB11185" w14:textId="77777777" w:rsidR="0008517D" w:rsidRDefault="0008517D" w:rsidP="0008517D">
      <w:pPr>
        <w:spacing w:after="0"/>
      </w:pPr>
      <w:r>
        <w:tab/>
        <w:t>LM40.20</w:t>
      </w:r>
      <w:r>
        <w:tab/>
        <w:t>Risk Management</w:t>
      </w:r>
    </w:p>
    <w:p w14:paraId="39F9D3AA" w14:textId="77777777" w:rsidR="0008517D" w:rsidRDefault="0008517D" w:rsidP="0008517D">
      <w:pPr>
        <w:spacing w:after="0"/>
      </w:pPr>
      <w:r>
        <w:tab/>
        <w:t>LM40.25</w:t>
      </w:r>
      <w:r>
        <w:tab/>
        <w:t>Emergency Preparedness</w:t>
      </w:r>
    </w:p>
    <w:p w14:paraId="4039EB03" w14:textId="77777777" w:rsidR="00CD3E47" w:rsidRDefault="0008517D" w:rsidP="0008517D">
      <w:pPr>
        <w:spacing w:after="0"/>
      </w:pPr>
      <w:r>
        <w:lastRenderedPageBreak/>
        <w:tab/>
        <w:t>LM40.30</w:t>
      </w:r>
      <w:r>
        <w:tab/>
        <w:t>Business Continuity</w:t>
      </w:r>
    </w:p>
    <w:p w14:paraId="08F9AC28" w14:textId="77777777" w:rsidR="00CD3E47" w:rsidRDefault="00CD3E47" w:rsidP="00CD3E47">
      <w:pPr>
        <w:spacing w:after="0"/>
      </w:pPr>
    </w:p>
    <w:p w14:paraId="6D307E69" w14:textId="77777777" w:rsidR="00206AA7" w:rsidRDefault="00206AA7" w:rsidP="00206AA7">
      <w:pPr>
        <w:pStyle w:val="BodyText"/>
        <w:ind w:left="0"/>
        <w:rPr>
          <w:rFonts w:asciiTheme="minorHAnsi" w:hAnsiTheme="minorHAnsi"/>
          <w:b/>
          <w:sz w:val="22"/>
          <w:szCs w:val="22"/>
        </w:rPr>
      </w:pPr>
      <w:r>
        <w:rPr>
          <w:rFonts w:asciiTheme="minorHAnsi" w:hAnsiTheme="minorHAnsi"/>
          <w:b/>
          <w:sz w:val="22"/>
          <w:szCs w:val="22"/>
        </w:rPr>
        <w:t>Questions?</w:t>
      </w:r>
    </w:p>
    <w:p w14:paraId="786E77DB" w14:textId="77777777" w:rsidR="00206AA7" w:rsidRDefault="00206AA7" w:rsidP="00206AA7">
      <w:pPr>
        <w:pStyle w:val="BodyText"/>
        <w:ind w:left="0"/>
        <w:rPr>
          <w:rFonts w:asciiTheme="minorHAnsi" w:hAnsiTheme="minorHAnsi"/>
          <w:sz w:val="22"/>
          <w:szCs w:val="22"/>
        </w:rPr>
      </w:pPr>
    </w:p>
    <w:p w14:paraId="40F8F42F" w14:textId="77777777" w:rsidR="00206AA7" w:rsidRDefault="00206AA7" w:rsidP="00206AA7">
      <w:pPr>
        <w:pStyle w:val="BodyText"/>
        <w:ind w:left="0"/>
        <w:rPr>
          <w:rFonts w:asciiTheme="minorHAnsi" w:hAnsiTheme="minorHAnsi"/>
          <w:sz w:val="22"/>
          <w:szCs w:val="22"/>
        </w:rPr>
      </w:pPr>
      <w:r>
        <w:rPr>
          <w:rFonts w:asciiTheme="minorHAnsi" w:hAnsiTheme="minorHAnsi"/>
          <w:sz w:val="22"/>
          <w:szCs w:val="22"/>
        </w:rPr>
        <w:t xml:space="preserve">For further information about the ALA UPBMS or the public comment process, please contact: </w:t>
      </w:r>
      <w:hyperlink r:id="rId8" w:history="1">
        <w:r>
          <w:rPr>
            <w:rStyle w:val="Hyperlink"/>
            <w:rFonts w:asciiTheme="minorHAnsi" w:hAnsiTheme="minorHAnsi"/>
            <w:i/>
            <w:sz w:val="22"/>
            <w:szCs w:val="22"/>
          </w:rPr>
          <w:t>alaupbms@alanet.org</w:t>
        </w:r>
      </w:hyperlink>
      <w:r>
        <w:rPr>
          <w:rFonts w:asciiTheme="minorHAnsi" w:hAnsiTheme="minorHAnsi"/>
          <w:i/>
          <w:sz w:val="22"/>
          <w:szCs w:val="22"/>
        </w:rPr>
        <w:t>.</w:t>
      </w:r>
    </w:p>
    <w:sectPr w:rsidR="00206AA7" w:rsidSect="00F56BB1">
      <w:headerReference w:type="default" r:id="rId9"/>
      <w:footerReference w:type="default" r:id="rId10"/>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54564" w14:textId="77777777" w:rsidR="001118B2" w:rsidRDefault="001118B2" w:rsidP="00BB07BB">
      <w:pPr>
        <w:spacing w:after="0" w:line="240" w:lineRule="auto"/>
      </w:pPr>
      <w:r>
        <w:separator/>
      </w:r>
    </w:p>
  </w:endnote>
  <w:endnote w:type="continuationSeparator" w:id="0">
    <w:p w14:paraId="0D247B07" w14:textId="77777777" w:rsidR="001118B2" w:rsidRDefault="001118B2" w:rsidP="00BB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9AF02" w14:textId="1DF6B7C1" w:rsidR="008F5D1D" w:rsidRDefault="008F5D1D" w:rsidP="00A452F6">
    <w:pPr>
      <w:pStyle w:val="Footer"/>
      <w:rPr>
        <w:b/>
        <w:bCs/>
        <w:noProof/>
        <w:sz w:val="14"/>
      </w:rPr>
    </w:pPr>
    <w:r>
      <w:rPr>
        <w:sz w:val="14"/>
      </w:rPr>
      <w:fldChar w:fldCharType="begin"/>
    </w:r>
    <w:r>
      <w:rPr>
        <w:sz w:val="14"/>
      </w:rPr>
      <w:instrText xml:space="preserve"> DATE \@ "M/d/yyyy h:mm:ss am/pm" </w:instrText>
    </w:r>
    <w:r>
      <w:rPr>
        <w:sz w:val="14"/>
      </w:rPr>
      <w:fldChar w:fldCharType="separate"/>
    </w:r>
    <w:r w:rsidR="00EF2554">
      <w:rPr>
        <w:noProof/>
        <w:sz w:val="14"/>
      </w:rPr>
      <w:t>3/17/2019 4:35:36 PM</w:t>
    </w:r>
    <w:r>
      <w:rPr>
        <w:sz w:val="14"/>
      </w:rPr>
      <w:fldChar w:fldCharType="end"/>
    </w:r>
    <w:r>
      <w:rPr>
        <w:sz w:val="14"/>
      </w:rPr>
      <w:ptab w:relativeTo="margin" w:alignment="center" w:leader="none"/>
    </w:r>
    <w:r w:rsidRPr="00F56BB1">
      <w:rPr>
        <w:sz w:val="14"/>
      </w:rPr>
      <w:t xml:space="preserve">Page | </w:t>
    </w:r>
    <w:r w:rsidRPr="00F56BB1">
      <w:rPr>
        <w:sz w:val="14"/>
      </w:rPr>
      <w:fldChar w:fldCharType="begin"/>
    </w:r>
    <w:r w:rsidRPr="00F56BB1">
      <w:rPr>
        <w:sz w:val="14"/>
      </w:rPr>
      <w:instrText xml:space="preserve"> PAGE   \* MERGEFORMAT </w:instrText>
    </w:r>
    <w:r w:rsidRPr="00F56BB1">
      <w:rPr>
        <w:sz w:val="14"/>
      </w:rPr>
      <w:fldChar w:fldCharType="separate"/>
    </w:r>
    <w:r>
      <w:rPr>
        <w:noProof/>
        <w:sz w:val="14"/>
      </w:rPr>
      <w:t>7</w:t>
    </w:r>
    <w:r w:rsidRPr="00F56BB1">
      <w:rPr>
        <w:noProof/>
        <w:sz w:val="14"/>
      </w:rPr>
      <w:fldChar w:fldCharType="end"/>
    </w:r>
  </w:p>
  <w:p w14:paraId="3DCBE4BA" w14:textId="77777777" w:rsidR="008F5D1D" w:rsidRDefault="008F5D1D" w:rsidP="00A452F6">
    <w:pPr>
      <w:pStyle w:val="Footer"/>
      <w:rPr>
        <w:b/>
        <w:bCs/>
        <w:noProof/>
        <w:sz w:val="14"/>
      </w:rPr>
    </w:pPr>
  </w:p>
  <w:p w14:paraId="521276EE" w14:textId="77777777" w:rsidR="008F5D1D" w:rsidRDefault="008F5D1D" w:rsidP="00A452F6">
    <w:pPr>
      <w:pStyle w:val="Footer"/>
      <w:rPr>
        <w:sz w:val="14"/>
      </w:rPr>
    </w:pPr>
    <w:r>
      <w:rPr>
        <w:sz w:val="14"/>
      </w:rPr>
      <w:t xml:space="preserve"> </w:t>
    </w:r>
    <w:r>
      <w:rPr>
        <w:sz w:val="14"/>
      </w:rPr>
      <w:ptab w:relativeTo="margin" w:alignment="right" w:leader="none"/>
    </w:r>
    <w:r>
      <w:rPr>
        <w:sz w:val="14"/>
      </w:rPr>
      <w:t>©</w:t>
    </w:r>
    <w:r>
      <w:rPr>
        <w:spacing w:val="-1"/>
        <w:sz w:val="14"/>
      </w:rPr>
      <w:t xml:space="preserve"> </w:t>
    </w:r>
    <w:r>
      <w:rPr>
        <w:sz w:val="14"/>
      </w:rPr>
      <w:t>201</w:t>
    </w:r>
    <w:r w:rsidR="00813084">
      <w:rPr>
        <w:sz w:val="14"/>
      </w:rPr>
      <w:t>9</w:t>
    </w:r>
    <w:r>
      <w:rPr>
        <w:sz w:val="14"/>
      </w:rPr>
      <w:t xml:space="preserve"> Association of Legal Administrators.  All rights</w:t>
    </w:r>
    <w:r>
      <w:rPr>
        <w:spacing w:val="1"/>
        <w:sz w:val="14"/>
      </w:rPr>
      <w:t xml:space="preserve"> </w:t>
    </w:r>
    <w:r>
      <w:rPr>
        <w:spacing w:val="-1"/>
        <w:sz w:val="14"/>
      </w:rPr>
      <w:t>reserved</w:t>
    </w:r>
    <w:r>
      <w:rPr>
        <w:sz w:val="14"/>
      </w:rPr>
      <w:t xml:space="preserve"> </w:t>
    </w:r>
    <w:r>
      <w:rPr>
        <w:spacing w:val="-1"/>
        <w:sz w:val="14"/>
      </w:rPr>
      <w:t xml:space="preserve">worldwide.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962D8" w14:textId="77777777" w:rsidR="001118B2" w:rsidRDefault="001118B2" w:rsidP="00BB07BB">
      <w:pPr>
        <w:spacing w:after="0" w:line="240" w:lineRule="auto"/>
      </w:pPr>
      <w:r>
        <w:separator/>
      </w:r>
    </w:p>
  </w:footnote>
  <w:footnote w:type="continuationSeparator" w:id="0">
    <w:p w14:paraId="2230E2CC" w14:textId="77777777" w:rsidR="001118B2" w:rsidRDefault="001118B2" w:rsidP="00BB0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0F222" w14:textId="77777777" w:rsidR="008F5D1D" w:rsidRDefault="008F5D1D">
    <w:pPr>
      <w:pStyle w:val="Header"/>
      <w:tabs>
        <w:tab w:val="clear" w:pos="4680"/>
        <w:tab w:val="clear" w:pos="9360"/>
      </w:tabs>
      <w:jc w:val="right"/>
      <w:rPr>
        <w:color w:val="8496B0" w:themeColor="text2" w:themeTint="99"/>
        <w:sz w:val="24"/>
        <w:szCs w:val="24"/>
      </w:rPr>
    </w:pPr>
    <w:r>
      <w:rPr>
        <w:noProof/>
        <w:color w:val="8496B0" w:themeColor="text2" w:themeTint="99"/>
        <w:sz w:val="24"/>
        <w:szCs w:val="24"/>
      </w:rPr>
      <w:drawing>
        <wp:inline distT="0" distB="0" distL="0" distR="0" wp14:anchorId="0B2109D3" wp14:editId="0D829DBA">
          <wp:extent cx="657225" cy="657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LA-UPBMS-logo-Highres-576-x-576.pn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inline>
      </w:drawing>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p>
  <w:p w14:paraId="6FD5FB5C" w14:textId="77777777" w:rsidR="008F5D1D" w:rsidRDefault="008F5D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476C"/>
    <w:rsid w:val="00011C3B"/>
    <w:rsid w:val="000243D0"/>
    <w:rsid w:val="0004230F"/>
    <w:rsid w:val="00046744"/>
    <w:rsid w:val="00050A9C"/>
    <w:rsid w:val="0005595B"/>
    <w:rsid w:val="00063B18"/>
    <w:rsid w:val="00066D00"/>
    <w:rsid w:val="00073F7B"/>
    <w:rsid w:val="0008517D"/>
    <w:rsid w:val="000A0ECB"/>
    <w:rsid w:val="000A55D3"/>
    <w:rsid w:val="000A7DE7"/>
    <w:rsid w:val="000B1C58"/>
    <w:rsid w:val="000C399C"/>
    <w:rsid w:val="000C58EB"/>
    <w:rsid w:val="000C7A16"/>
    <w:rsid w:val="000D43C7"/>
    <w:rsid w:val="000E54ED"/>
    <w:rsid w:val="00101BA2"/>
    <w:rsid w:val="00101C04"/>
    <w:rsid w:val="00102CD7"/>
    <w:rsid w:val="0010425D"/>
    <w:rsid w:val="001118B2"/>
    <w:rsid w:val="00113253"/>
    <w:rsid w:val="00115A95"/>
    <w:rsid w:val="00116E9D"/>
    <w:rsid w:val="00124EE7"/>
    <w:rsid w:val="00125763"/>
    <w:rsid w:val="0013349C"/>
    <w:rsid w:val="001351A7"/>
    <w:rsid w:val="00152DFE"/>
    <w:rsid w:val="00157188"/>
    <w:rsid w:val="001600A6"/>
    <w:rsid w:val="001604E4"/>
    <w:rsid w:val="00162C2F"/>
    <w:rsid w:val="00181391"/>
    <w:rsid w:val="001855A4"/>
    <w:rsid w:val="00192B16"/>
    <w:rsid w:val="00196192"/>
    <w:rsid w:val="001963BB"/>
    <w:rsid w:val="001A3224"/>
    <w:rsid w:val="001B2D50"/>
    <w:rsid w:val="001B5677"/>
    <w:rsid w:val="001D3F31"/>
    <w:rsid w:val="001E2792"/>
    <w:rsid w:val="001F586B"/>
    <w:rsid w:val="00200850"/>
    <w:rsid w:val="00206AA7"/>
    <w:rsid w:val="00210D3C"/>
    <w:rsid w:val="00213FEC"/>
    <w:rsid w:val="0023365C"/>
    <w:rsid w:val="0024421F"/>
    <w:rsid w:val="002447F0"/>
    <w:rsid w:val="00245C1C"/>
    <w:rsid w:val="00262302"/>
    <w:rsid w:val="00265293"/>
    <w:rsid w:val="0026747F"/>
    <w:rsid w:val="002750C2"/>
    <w:rsid w:val="00276C29"/>
    <w:rsid w:val="00292CA8"/>
    <w:rsid w:val="002A41AF"/>
    <w:rsid w:val="002A7403"/>
    <w:rsid w:val="002B11D0"/>
    <w:rsid w:val="002B2A1B"/>
    <w:rsid w:val="002C1869"/>
    <w:rsid w:val="002C6656"/>
    <w:rsid w:val="002D42B3"/>
    <w:rsid w:val="002D51E4"/>
    <w:rsid w:val="002E0907"/>
    <w:rsid w:val="002E1FDC"/>
    <w:rsid w:val="002E3483"/>
    <w:rsid w:val="002E6EEB"/>
    <w:rsid w:val="002E705D"/>
    <w:rsid w:val="002F3ED8"/>
    <w:rsid w:val="002F49AA"/>
    <w:rsid w:val="002F7762"/>
    <w:rsid w:val="00300A75"/>
    <w:rsid w:val="00331D02"/>
    <w:rsid w:val="00336DE6"/>
    <w:rsid w:val="00337A9D"/>
    <w:rsid w:val="00337B59"/>
    <w:rsid w:val="00351352"/>
    <w:rsid w:val="00357C27"/>
    <w:rsid w:val="0036437F"/>
    <w:rsid w:val="00376434"/>
    <w:rsid w:val="00377267"/>
    <w:rsid w:val="003863B1"/>
    <w:rsid w:val="003914AA"/>
    <w:rsid w:val="003A37FA"/>
    <w:rsid w:val="003A4687"/>
    <w:rsid w:val="003A71EE"/>
    <w:rsid w:val="003C1A32"/>
    <w:rsid w:val="003C1C5A"/>
    <w:rsid w:val="003E30F4"/>
    <w:rsid w:val="003F0DBC"/>
    <w:rsid w:val="003F3ECB"/>
    <w:rsid w:val="003F7816"/>
    <w:rsid w:val="004121DD"/>
    <w:rsid w:val="0042564B"/>
    <w:rsid w:val="00426690"/>
    <w:rsid w:val="00434F7F"/>
    <w:rsid w:val="0043595C"/>
    <w:rsid w:val="0043749D"/>
    <w:rsid w:val="004663A0"/>
    <w:rsid w:val="004770A6"/>
    <w:rsid w:val="00483892"/>
    <w:rsid w:val="0048555B"/>
    <w:rsid w:val="00486F5F"/>
    <w:rsid w:val="00496983"/>
    <w:rsid w:val="004A058D"/>
    <w:rsid w:val="004A318F"/>
    <w:rsid w:val="004A5783"/>
    <w:rsid w:val="004A6209"/>
    <w:rsid w:val="004C1F3A"/>
    <w:rsid w:val="004C47E7"/>
    <w:rsid w:val="004C73BF"/>
    <w:rsid w:val="004D0E7C"/>
    <w:rsid w:val="004E205B"/>
    <w:rsid w:val="004E434E"/>
    <w:rsid w:val="004E6DBC"/>
    <w:rsid w:val="004E71ED"/>
    <w:rsid w:val="004F08B4"/>
    <w:rsid w:val="004F2577"/>
    <w:rsid w:val="005011CE"/>
    <w:rsid w:val="00506B79"/>
    <w:rsid w:val="00512FF2"/>
    <w:rsid w:val="0051638B"/>
    <w:rsid w:val="0052306D"/>
    <w:rsid w:val="00525F7E"/>
    <w:rsid w:val="005275C4"/>
    <w:rsid w:val="00541D25"/>
    <w:rsid w:val="005455BF"/>
    <w:rsid w:val="00547302"/>
    <w:rsid w:val="0055720C"/>
    <w:rsid w:val="00572ACE"/>
    <w:rsid w:val="00584BE4"/>
    <w:rsid w:val="00587BE5"/>
    <w:rsid w:val="0059129D"/>
    <w:rsid w:val="005A5B54"/>
    <w:rsid w:val="005A7884"/>
    <w:rsid w:val="005B1BB1"/>
    <w:rsid w:val="005B2162"/>
    <w:rsid w:val="005B3397"/>
    <w:rsid w:val="005B42E0"/>
    <w:rsid w:val="005B42E8"/>
    <w:rsid w:val="005B52CE"/>
    <w:rsid w:val="005C03BD"/>
    <w:rsid w:val="005C0D53"/>
    <w:rsid w:val="005C796F"/>
    <w:rsid w:val="005D2448"/>
    <w:rsid w:val="005D4C3B"/>
    <w:rsid w:val="005F2786"/>
    <w:rsid w:val="00606FBD"/>
    <w:rsid w:val="00611F2D"/>
    <w:rsid w:val="00613B69"/>
    <w:rsid w:val="0061596E"/>
    <w:rsid w:val="0066030B"/>
    <w:rsid w:val="006637C3"/>
    <w:rsid w:val="00670682"/>
    <w:rsid w:val="0067270D"/>
    <w:rsid w:val="006727B0"/>
    <w:rsid w:val="00676542"/>
    <w:rsid w:val="00680425"/>
    <w:rsid w:val="00682A40"/>
    <w:rsid w:val="0068443C"/>
    <w:rsid w:val="006A2307"/>
    <w:rsid w:val="006A3D07"/>
    <w:rsid w:val="006A6E2C"/>
    <w:rsid w:val="006B0254"/>
    <w:rsid w:val="006D021F"/>
    <w:rsid w:val="006D3BC3"/>
    <w:rsid w:val="006E4242"/>
    <w:rsid w:val="006E4A67"/>
    <w:rsid w:val="006F1DAA"/>
    <w:rsid w:val="006F360D"/>
    <w:rsid w:val="0070097E"/>
    <w:rsid w:val="00705FEF"/>
    <w:rsid w:val="007142CB"/>
    <w:rsid w:val="00723DE3"/>
    <w:rsid w:val="00724C6D"/>
    <w:rsid w:val="00727308"/>
    <w:rsid w:val="00727600"/>
    <w:rsid w:val="00733440"/>
    <w:rsid w:val="0073347A"/>
    <w:rsid w:val="00736A54"/>
    <w:rsid w:val="00737774"/>
    <w:rsid w:val="007449C6"/>
    <w:rsid w:val="007610D6"/>
    <w:rsid w:val="00764C8E"/>
    <w:rsid w:val="007703CF"/>
    <w:rsid w:val="007908D8"/>
    <w:rsid w:val="007A012D"/>
    <w:rsid w:val="007A0D74"/>
    <w:rsid w:val="007A510D"/>
    <w:rsid w:val="007B6D58"/>
    <w:rsid w:val="007C7D32"/>
    <w:rsid w:val="007D2FA0"/>
    <w:rsid w:val="007E42F3"/>
    <w:rsid w:val="007E4DA5"/>
    <w:rsid w:val="007F14D0"/>
    <w:rsid w:val="007F45B2"/>
    <w:rsid w:val="007F567F"/>
    <w:rsid w:val="007F5B99"/>
    <w:rsid w:val="00800219"/>
    <w:rsid w:val="00804631"/>
    <w:rsid w:val="00812CCA"/>
    <w:rsid w:val="00813084"/>
    <w:rsid w:val="00823766"/>
    <w:rsid w:val="0082482F"/>
    <w:rsid w:val="0083534E"/>
    <w:rsid w:val="00842855"/>
    <w:rsid w:val="008606AA"/>
    <w:rsid w:val="008673C9"/>
    <w:rsid w:val="008735EB"/>
    <w:rsid w:val="008876B3"/>
    <w:rsid w:val="00896262"/>
    <w:rsid w:val="008A0269"/>
    <w:rsid w:val="008A6034"/>
    <w:rsid w:val="008B1530"/>
    <w:rsid w:val="008B3D8A"/>
    <w:rsid w:val="008C27C3"/>
    <w:rsid w:val="008C666C"/>
    <w:rsid w:val="008D03E6"/>
    <w:rsid w:val="008D3AC1"/>
    <w:rsid w:val="008E0200"/>
    <w:rsid w:val="008E3718"/>
    <w:rsid w:val="008F3966"/>
    <w:rsid w:val="008F5D1D"/>
    <w:rsid w:val="00901F37"/>
    <w:rsid w:val="00912CC4"/>
    <w:rsid w:val="009154F3"/>
    <w:rsid w:val="00925C17"/>
    <w:rsid w:val="009428B9"/>
    <w:rsid w:val="00942DB3"/>
    <w:rsid w:val="00952C2A"/>
    <w:rsid w:val="009578ED"/>
    <w:rsid w:val="00964FD1"/>
    <w:rsid w:val="00976951"/>
    <w:rsid w:val="009962B9"/>
    <w:rsid w:val="009C330D"/>
    <w:rsid w:val="009C6970"/>
    <w:rsid w:val="009D0AF1"/>
    <w:rsid w:val="009D139C"/>
    <w:rsid w:val="009E4D1E"/>
    <w:rsid w:val="009E654C"/>
    <w:rsid w:val="009F1900"/>
    <w:rsid w:val="009F383F"/>
    <w:rsid w:val="009F480C"/>
    <w:rsid w:val="00A01B12"/>
    <w:rsid w:val="00A23068"/>
    <w:rsid w:val="00A2703D"/>
    <w:rsid w:val="00A30D53"/>
    <w:rsid w:val="00A3174B"/>
    <w:rsid w:val="00A34846"/>
    <w:rsid w:val="00A37105"/>
    <w:rsid w:val="00A43F26"/>
    <w:rsid w:val="00A452F6"/>
    <w:rsid w:val="00A53B20"/>
    <w:rsid w:val="00A6060C"/>
    <w:rsid w:val="00A719E5"/>
    <w:rsid w:val="00A73B65"/>
    <w:rsid w:val="00A76028"/>
    <w:rsid w:val="00A877E0"/>
    <w:rsid w:val="00A93979"/>
    <w:rsid w:val="00A96815"/>
    <w:rsid w:val="00AA6904"/>
    <w:rsid w:val="00AB355A"/>
    <w:rsid w:val="00AB57CF"/>
    <w:rsid w:val="00AB5AE9"/>
    <w:rsid w:val="00AC365D"/>
    <w:rsid w:val="00AC49B0"/>
    <w:rsid w:val="00AD6467"/>
    <w:rsid w:val="00AE01A0"/>
    <w:rsid w:val="00AE44FD"/>
    <w:rsid w:val="00AE67CB"/>
    <w:rsid w:val="00AF218C"/>
    <w:rsid w:val="00AF57C7"/>
    <w:rsid w:val="00B04564"/>
    <w:rsid w:val="00B14A94"/>
    <w:rsid w:val="00B214C9"/>
    <w:rsid w:val="00B2402D"/>
    <w:rsid w:val="00B27200"/>
    <w:rsid w:val="00B35FF0"/>
    <w:rsid w:val="00B434DB"/>
    <w:rsid w:val="00B618F8"/>
    <w:rsid w:val="00B71589"/>
    <w:rsid w:val="00B80A20"/>
    <w:rsid w:val="00B82B63"/>
    <w:rsid w:val="00B862EA"/>
    <w:rsid w:val="00B96F77"/>
    <w:rsid w:val="00BA01F1"/>
    <w:rsid w:val="00BA3BB4"/>
    <w:rsid w:val="00BB07BB"/>
    <w:rsid w:val="00BC2AA1"/>
    <w:rsid w:val="00BC476C"/>
    <w:rsid w:val="00BC4D76"/>
    <w:rsid w:val="00BC6671"/>
    <w:rsid w:val="00BD51B5"/>
    <w:rsid w:val="00BF3337"/>
    <w:rsid w:val="00BF5059"/>
    <w:rsid w:val="00C03880"/>
    <w:rsid w:val="00C056E5"/>
    <w:rsid w:val="00C106F1"/>
    <w:rsid w:val="00C12E27"/>
    <w:rsid w:val="00C15E78"/>
    <w:rsid w:val="00C23B66"/>
    <w:rsid w:val="00C26E47"/>
    <w:rsid w:val="00C33261"/>
    <w:rsid w:val="00C35AFA"/>
    <w:rsid w:val="00C370DD"/>
    <w:rsid w:val="00C410AC"/>
    <w:rsid w:val="00C50EC9"/>
    <w:rsid w:val="00C62FF4"/>
    <w:rsid w:val="00C76AC8"/>
    <w:rsid w:val="00CA1FF4"/>
    <w:rsid w:val="00CB13A4"/>
    <w:rsid w:val="00CB5CAB"/>
    <w:rsid w:val="00CC19CD"/>
    <w:rsid w:val="00CC20FB"/>
    <w:rsid w:val="00CD3E47"/>
    <w:rsid w:val="00CF5F7B"/>
    <w:rsid w:val="00CF6358"/>
    <w:rsid w:val="00D25B70"/>
    <w:rsid w:val="00D418CF"/>
    <w:rsid w:val="00D5023A"/>
    <w:rsid w:val="00D519DD"/>
    <w:rsid w:val="00D55811"/>
    <w:rsid w:val="00D60202"/>
    <w:rsid w:val="00D61DF3"/>
    <w:rsid w:val="00D6502D"/>
    <w:rsid w:val="00D668FD"/>
    <w:rsid w:val="00D70BA5"/>
    <w:rsid w:val="00D735F3"/>
    <w:rsid w:val="00D74717"/>
    <w:rsid w:val="00D942A1"/>
    <w:rsid w:val="00D961B5"/>
    <w:rsid w:val="00DA398A"/>
    <w:rsid w:val="00DA612B"/>
    <w:rsid w:val="00DB1D58"/>
    <w:rsid w:val="00DC30E2"/>
    <w:rsid w:val="00DC7D24"/>
    <w:rsid w:val="00DD1819"/>
    <w:rsid w:val="00DE01A2"/>
    <w:rsid w:val="00DF1336"/>
    <w:rsid w:val="00DF668C"/>
    <w:rsid w:val="00E119BA"/>
    <w:rsid w:val="00E21528"/>
    <w:rsid w:val="00E22327"/>
    <w:rsid w:val="00E23D3F"/>
    <w:rsid w:val="00E267B6"/>
    <w:rsid w:val="00E34C04"/>
    <w:rsid w:val="00E617E8"/>
    <w:rsid w:val="00E84880"/>
    <w:rsid w:val="00E8539E"/>
    <w:rsid w:val="00EA0171"/>
    <w:rsid w:val="00EA36AD"/>
    <w:rsid w:val="00ED7233"/>
    <w:rsid w:val="00EF2554"/>
    <w:rsid w:val="00EF7762"/>
    <w:rsid w:val="00F16A55"/>
    <w:rsid w:val="00F2133F"/>
    <w:rsid w:val="00F23774"/>
    <w:rsid w:val="00F2705A"/>
    <w:rsid w:val="00F35191"/>
    <w:rsid w:val="00F4291C"/>
    <w:rsid w:val="00F546C0"/>
    <w:rsid w:val="00F56BB1"/>
    <w:rsid w:val="00F60C5B"/>
    <w:rsid w:val="00F65449"/>
    <w:rsid w:val="00F76FAF"/>
    <w:rsid w:val="00F82635"/>
    <w:rsid w:val="00F94B1F"/>
    <w:rsid w:val="00FA2E77"/>
    <w:rsid w:val="00FA567B"/>
    <w:rsid w:val="00FC523B"/>
    <w:rsid w:val="00FC69BA"/>
    <w:rsid w:val="00FE6089"/>
    <w:rsid w:val="00FF1974"/>
    <w:rsid w:val="00FF2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3F92A"/>
  <w15:docId w15:val="{19C53F83-9C19-4246-AB9D-E07A4A16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589"/>
  </w:style>
  <w:style w:type="paragraph" w:styleId="Heading1">
    <w:name w:val="heading 1"/>
    <w:basedOn w:val="Normal"/>
    <w:next w:val="Normal"/>
    <w:link w:val="Heading1Char"/>
    <w:uiPriority w:val="9"/>
    <w:qFormat/>
    <w:rsid w:val="002D51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51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1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51E4"/>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BB07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07BB"/>
    <w:rPr>
      <w:sz w:val="20"/>
      <w:szCs w:val="20"/>
    </w:rPr>
  </w:style>
  <w:style w:type="character" w:styleId="FootnoteReference">
    <w:name w:val="footnote reference"/>
    <w:basedOn w:val="DefaultParagraphFont"/>
    <w:uiPriority w:val="99"/>
    <w:semiHidden/>
    <w:unhideWhenUsed/>
    <w:rsid w:val="00BB07BB"/>
    <w:rPr>
      <w:vertAlign w:val="superscript"/>
    </w:rPr>
  </w:style>
  <w:style w:type="paragraph" w:styleId="Header">
    <w:name w:val="header"/>
    <w:basedOn w:val="Normal"/>
    <w:link w:val="HeaderChar"/>
    <w:uiPriority w:val="99"/>
    <w:unhideWhenUsed/>
    <w:rsid w:val="00A45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2F6"/>
  </w:style>
  <w:style w:type="paragraph" w:styleId="Footer">
    <w:name w:val="footer"/>
    <w:basedOn w:val="Normal"/>
    <w:link w:val="FooterChar"/>
    <w:uiPriority w:val="99"/>
    <w:unhideWhenUsed/>
    <w:rsid w:val="00A45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2F6"/>
  </w:style>
  <w:style w:type="character" w:styleId="Hyperlink">
    <w:name w:val="Hyperlink"/>
    <w:basedOn w:val="DefaultParagraphFont"/>
    <w:uiPriority w:val="99"/>
    <w:unhideWhenUsed/>
    <w:rsid w:val="00206AA7"/>
    <w:rPr>
      <w:color w:val="0563C1" w:themeColor="hyperlink"/>
      <w:u w:val="single"/>
    </w:rPr>
  </w:style>
  <w:style w:type="paragraph" w:styleId="BodyText">
    <w:name w:val="Body Text"/>
    <w:basedOn w:val="Normal"/>
    <w:link w:val="BodyTextChar"/>
    <w:uiPriority w:val="1"/>
    <w:semiHidden/>
    <w:unhideWhenUsed/>
    <w:qFormat/>
    <w:rsid w:val="00206AA7"/>
    <w:pPr>
      <w:widowControl w:val="0"/>
      <w:spacing w:after="0" w:line="240" w:lineRule="auto"/>
      <w:ind w:left="133"/>
    </w:pPr>
    <w:rPr>
      <w:rFonts w:ascii="Arial" w:eastAsia="Arial" w:hAnsi="Arial"/>
      <w:sz w:val="18"/>
      <w:szCs w:val="18"/>
    </w:rPr>
  </w:style>
  <w:style w:type="character" w:customStyle="1" w:styleId="BodyTextChar">
    <w:name w:val="Body Text Char"/>
    <w:basedOn w:val="DefaultParagraphFont"/>
    <w:link w:val="BodyText"/>
    <w:uiPriority w:val="1"/>
    <w:semiHidden/>
    <w:rsid w:val="00206AA7"/>
    <w:rPr>
      <w:rFonts w:ascii="Arial" w:eastAsia="Arial" w:hAnsi="Arial"/>
      <w:sz w:val="18"/>
      <w:szCs w:val="18"/>
    </w:rPr>
  </w:style>
  <w:style w:type="character" w:styleId="FollowedHyperlink">
    <w:name w:val="FollowedHyperlink"/>
    <w:basedOn w:val="DefaultParagraphFont"/>
    <w:uiPriority w:val="99"/>
    <w:semiHidden/>
    <w:unhideWhenUsed/>
    <w:rsid w:val="000A55D3"/>
    <w:rPr>
      <w:color w:val="954F72" w:themeColor="followedHyperlink"/>
      <w:u w:val="single"/>
    </w:rPr>
  </w:style>
  <w:style w:type="paragraph" w:styleId="BalloonText">
    <w:name w:val="Balloon Text"/>
    <w:basedOn w:val="Normal"/>
    <w:link w:val="BalloonTextChar"/>
    <w:uiPriority w:val="99"/>
    <w:semiHidden/>
    <w:unhideWhenUsed/>
    <w:rsid w:val="00AE0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1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3592">
      <w:bodyDiv w:val="1"/>
      <w:marLeft w:val="0"/>
      <w:marRight w:val="0"/>
      <w:marTop w:val="0"/>
      <w:marBottom w:val="0"/>
      <w:divBdr>
        <w:top w:val="none" w:sz="0" w:space="0" w:color="auto"/>
        <w:left w:val="none" w:sz="0" w:space="0" w:color="auto"/>
        <w:bottom w:val="none" w:sz="0" w:space="0" w:color="auto"/>
        <w:right w:val="none" w:sz="0" w:space="0" w:color="auto"/>
      </w:divBdr>
    </w:div>
    <w:div w:id="129444244">
      <w:bodyDiv w:val="1"/>
      <w:marLeft w:val="0"/>
      <w:marRight w:val="0"/>
      <w:marTop w:val="0"/>
      <w:marBottom w:val="0"/>
      <w:divBdr>
        <w:top w:val="none" w:sz="0" w:space="0" w:color="auto"/>
        <w:left w:val="none" w:sz="0" w:space="0" w:color="auto"/>
        <w:bottom w:val="none" w:sz="0" w:space="0" w:color="auto"/>
        <w:right w:val="none" w:sz="0" w:space="0" w:color="auto"/>
      </w:divBdr>
    </w:div>
    <w:div w:id="168915142">
      <w:bodyDiv w:val="1"/>
      <w:marLeft w:val="0"/>
      <w:marRight w:val="0"/>
      <w:marTop w:val="0"/>
      <w:marBottom w:val="0"/>
      <w:divBdr>
        <w:top w:val="none" w:sz="0" w:space="0" w:color="auto"/>
        <w:left w:val="none" w:sz="0" w:space="0" w:color="auto"/>
        <w:bottom w:val="none" w:sz="0" w:space="0" w:color="auto"/>
        <w:right w:val="none" w:sz="0" w:space="0" w:color="auto"/>
      </w:divBdr>
    </w:div>
    <w:div w:id="174196164">
      <w:bodyDiv w:val="1"/>
      <w:marLeft w:val="0"/>
      <w:marRight w:val="0"/>
      <w:marTop w:val="0"/>
      <w:marBottom w:val="0"/>
      <w:divBdr>
        <w:top w:val="none" w:sz="0" w:space="0" w:color="auto"/>
        <w:left w:val="none" w:sz="0" w:space="0" w:color="auto"/>
        <w:bottom w:val="none" w:sz="0" w:space="0" w:color="auto"/>
        <w:right w:val="none" w:sz="0" w:space="0" w:color="auto"/>
      </w:divBdr>
    </w:div>
    <w:div w:id="358285461">
      <w:bodyDiv w:val="1"/>
      <w:marLeft w:val="0"/>
      <w:marRight w:val="0"/>
      <w:marTop w:val="0"/>
      <w:marBottom w:val="0"/>
      <w:divBdr>
        <w:top w:val="none" w:sz="0" w:space="0" w:color="auto"/>
        <w:left w:val="none" w:sz="0" w:space="0" w:color="auto"/>
        <w:bottom w:val="none" w:sz="0" w:space="0" w:color="auto"/>
        <w:right w:val="none" w:sz="0" w:space="0" w:color="auto"/>
      </w:divBdr>
    </w:div>
    <w:div w:id="361976470">
      <w:bodyDiv w:val="1"/>
      <w:marLeft w:val="0"/>
      <w:marRight w:val="0"/>
      <w:marTop w:val="0"/>
      <w:marBottom w:val="0"/>
      <w:divBdr>
        <w:top w:val="none" w:sz="0" w:space="0" w:color="auto"/>
        <w:left w:val="none" w:sz="0" w:space="0" w:color="auto"/>
        <w:bottom w:val="none" w:sz="0" w:space="0" w:color="auto"/>
        <w:right w:val="none" w:sz="0" w:space="0" w:color="auto"/>
      </w:divBdr>
    </w:div>
    <w:div w:id="403065844">
      <w:bodyDiv w:val="1"/>
      <w:marLeft w:val="0"/>
      <w:marRight w:val="0"/>
      <w:marTop w:val="0"/>
      <w:marBottom w:val="0"/>
      <w:divBdr>
        <w:top w:val="none" w:sz="0" w:space="0" w:color="auto"/>
        <w:left w:val="none" w:sz="0" w:space="0" w:color="auto"/>
        <w:bottom w:val="none" w:sz="0" w:space="0" w:color="auto"/>
        <w:right w:val="none" w:sz="0" w:space="0" w:color="auto"/>
      </w:divBdr>
    </w:div>
    <w:div w:id="440345290">
      <w:bodyDiv w:val="1"/>
      <w:marLeft w:val="0"/>
      <w:marRight w:val="0"/>
      <w:marTop w:val="0"/>
      <w:marBottom w:val="0"/>
      <w:divBdr>
        <w:top w:val="none" w:sz="0" w:space="0" w:color="auto"/>
        <w:left w:val="none" w:sz="0" w:space="0" w:color="auto"/>
        <w:bottom w:val="none" w:sz="0" w:space="0" w:color="auto"/>
        <w:right w:val="none" w:sz="0" w:space="0" w:color="auto"/>
      </w:divBdr>
    </w:div>
    <w:div w:id="475800589">
      <w:bodyDiv w:val="1"/>
      <w:marLeft w:val="0"/>
      <w:marRight w:val="0"/>
      <w:marTop w:val="0"/>
      <w:marBottom w:val="0"/>
      <w:divBdr>
        <w:top w:val="none" w:sz="0" w:space="0" w:color="auto"/>
        <w:left w:val="none" w:sz="0" w:space="0" w:color="auto"/>
        <w:bottom w:val="none" w:sz="0" w:space="0" w:color="auto"/>
        <w:right w:val="none" w:sz="0" w:space="0" w:color="auto"/>
      </w:divBdr>
    </w:div>
    <w:div w:id="481696566">
      <w:bodyDiv w:val="1"/>
      <w:marLeft w:val="0"/>
      <w:marRight w:val="0"/>
      <w:marTop w:val="0"/>
      <w:marBottom w:val="0"/>
      <w:divBdr>
        <w:top w:val="none" w:sz="0" w:space="0" w:color="auto"/>
        <w:left w:val="none" w:sz="0" w:space="0" w:color="auto"/>
        <w:bottom w:val="none" w:sz="0" w:space="0" w:color="auto"/>
        <w:right w:val="none" w:sz="0" w:space="0" w:color="auto"/>
      </w:divBdr>
    </w:div>
    <w:div w:id="488834788">
      <w:bodyDiv w:val="1"/>
      <w:marLeft w:val="0"/>
      <w:marRight w:val="0"/>
      <w:marTop w:val="0"/>
      <w:marBottom w:val="0"/>
      <w:divBdr>
        <w:top w:val="none" w:sz="0" w:space="0" w:color="auto"/>
        <w:left w:val="none" w:sz="0" w:space="0" w:color="auto"/>
        <w:bottom w:val="none" w:sz="0" w:space="0" w:color="auto"/>
        <w:right w:val="none" w:sz="0" w:space="0" w:color="auto"/>
      </w:divBdr>
    </w:div>
    <w:div w:id="526412586">
      <w:bodyDiv w:val="1"/>
      <w:marLeft w:val="0"/>
      <w:marRight w:val="0"/>
      <w:marTop w:val="0"/>
      <w:marBottom w:val="0"/>
      <w:divBdr>
        <w:top w:val="none" w:sz="0" w:space="0" w:color="auto"/>
        <w:left w:val="none" w:sz="0" w:space="0" w:color="auto"/>
        <w:bottom w:val="none" w:sz="0" w:space="0" w:color="auto"/>
        <w:right w:val="none" w:sz="0" w:space="0" w:color="auto"/>
      </w:divBdr>
    </w:div>
    <w:div w:id="627316861">
      <w:bodyDiv w:val="1"/>
      <w:marLeft w:val="0"/>
      <w:marRight w:val="0"/>
      <w:marTop w:val="0"/>
      <w:marBottom w:val="0"/>
      <w:divBdr>
        <w:top w:val="none" w:sz="0" w:space="0" w:color="auto"/>
        <w:left w:val="none" w:sz="0" w:space="0" w:color="auto"/>
        <w:bottom w:val="none" w:sz="0" w:space="0" w:color="auto"/>
        <w:right w:val="none" w:sz="0" w:space="0" w:color="auto"/>
      </w:divBdr>
    </w:div>
    <w:div w:id="662700786">
      <w:bodyDiv w:val="1"/>
      <w:marLeft w:val="0"/>
      <w:marRight w:val="0"/>
      <w:marTop w:val="0"/>
      <w:marBottom w:val="0"/>
      <w:divBdr>
        <w:top w:val="none" w:sz="0" w:space="0" w:color="auto"/>
        <w:left w:val="none" w:sz="0" w:space="0" w:color="auto"/>
        <w:bottom w:val="none" w:sz="0" w:space="0" w:color="auto"/>
        <w:right w:val="none" w:sz="0" w:space="0" w:color="auto"/>
      </w:divBdr>
    </w:div>
    <w:div w:id="670915153">
      <w:bodyDiv w:val="1"/>
      <w:marLeft w:val="0"/>
      <w:marRight w:val="0"/>
      <w:marTop w:val="0"/>
      <w:marBottom w:val="0"/>
      <w:divBdr>
        <w:top w:val="none" w:sz="0" w:space="0" w:color="auto"/>
        <w:left w:val="none" w:sz="0" w:space="0" w:color="auto"/>
        <w:bottom w:val="none" w:sz="0" w:space="0" w:color="auto"/>
        <w:right w:val="none" w:sz="0" w:space="0" w:color="auto"/>
      </w:divBdr>
    </w:div>
    <w:div w:id="713819917">
      <w:bodyDiv w:val="1"/>
      <w:marLeft w:val="0"/>
      <w:marRight w:val="0"/>
      <w:marTop w:val="0"/>
      <w:marBottom w:val="0"/>
      <w:divBdr>
        <w:top w:val="none" w:sz="0" w:space="0" w:color="auto"/>
        <w:left w:val="none" w:sz="0" w:space="0" w:color="auto"/>
        <w:bottom w:val="none" w:sz="0" w:space="0" w:color="auto"/>
        <w:right w:val="none" w:sz="0" w:space="0" w:color="auto"/>
      </w:divBdr>
    </w:div>
    <w:div w:id="716590815">
      <w:bodyDiv w:val="1"/>
      <w:marLeft w:val="0"/>
      <w:marRight w:val="0"/>
      <w:marTop w:val="0"/>
      <w:marBottom w:val="0"/>
      <w:divBdr>
        <w:top w:val="none" w:sz="0" w:space="0" w:color="auto"/>
        <w:left w:val="none" w:sz="0" w:space="0" w:color="auto"/>
        <w:bottom w:val="none" w:sz="0" w:space="0" w:color="auto"/>
        <w:right w:val="none" w:sz="0" w:space="0" w:color="auto"/>
      </w:divBdr>
    </w:div>
    <w:div w:id="781455018">
      <w:bodyDiv w:val="1"/>
      <w:marLeft w:val="0"/>
      <w:marRight w:val="0"/>
      <w:marTop w:val="0"/>
      <w:marBottom w:val="0"/>
      <w:divBdr>
        <w:top w:val="none" w:sz="0" w:space="0" w:color="auto"/>
        <w:left w:val="none" w:sz="0" w:space="0" w:color="auto"/>
        <w:bottom w:val="none" w:sz="0" w:space="0" w:color="auto"/>
        <w:right w:val="none" w:sz="0" w:space="0" w:color="auto"/>
      </w:divBdr>
    </w:div>
    <w:div w:id="826894215">
      <w:bodyDiv w:val="1"/>
      <w:marLeft w:val="0"/>
      <w:marRight w:val="0"/>
      <w:marTop w:val="0"/>
      <w:marBottom w:val="0"/>
      <w:divBdr>
        <w:top w:val="none" w:sz="0" w:space="0" w:color="auto"/>
        <w:left w:val="none" w:sz="0" w:space="0" w:color="auto"/>
        <w:bottom w:val="none" w:sz="0" w:space="0" w:color="auto"/>
        <w:right w:val="none" w:sz="0" w:space="0" w:color="auto"/>
      </w:divBdr>
    </w:div>
    <w:div w:id="857621324">
      <w:bodyDiv w:val="1"/>
      <w:marLeft w:val="0"/>
      <w:marRight w:val="0"/>
      <w:marTop w:val="0"/>
      <w:marBottom w:val="0"/>
      <w:divBdr>
        <w:top w:val="none" w:sz="0" w:space="0" w:color="auto"/>
        <w:left w:val="none" w:sz="0" w:space="0" w:color="auto"/>
        <w:bottom w:val="none" w:sz="0" w:space="0" w:color="auto"/>
        <w:right w:val="none" w:sz="0" w:space="0" w:color="auto"/>
      </w:divBdr>
    </w:div>
    <w:div w:id="860126680">
      <w:bodyDiv w:val="1"/>
      <w:marLeft w:val="0"/>
      <w:marRight w:val="0"/>
      <w:marTop w:val="0"/>
      <w:marBottom w:val="0"/>
      <w:divBdr>
        <w:top w:val="none" w:sz="0" w:space="0" w:color="auto"/>
        <w:left w:val="none" w:sz="0" w:space="0" w:color="auto"/>
        <w:bottom w:val="none" w:sz="0" w:space="0" w:color="auto"/>
        <w:right w:val="none" w:sz="0" w:space="0" w:color="auto"/>
      </w:divBdr>
    </w:div>
    <w:div w:id="919798116">
      <w:bodyDiv w:val="1"/>
      <w:marLeft w:val="0"/>
      <w:marRight w:val="0"/>
      <w:marTop w:val="0"/>
      <w:marBottom w:val="0"/>
      <w:divBdr>
        <w:top w:val="none" w:sz="0" w:space="0" w:color="auto"/>
        <w:left w:val="none" w:sz="0" w:space="0" w:color="auto"/>
        <w:bottom w:val="none" w:sz="0" w:space="0" w:color="auto"/>
        <w:right w:val="none" w:sz="0" w:space="0" w:color="auto"/>
      </w:divBdr>
    </w:div>
    <w:div w:id="932130175">
      <w:bodyDiv w:val="1"/>
      <w:marLeft w:val="0"/>
      <w:marRight w:val="0"/>
      <w:marTop w:val="0"/>
      <w:marBottom w:val="0"/>
      <w:divBdr>
        <w:top w:val="none" w:sz="0" w:space="0" w:color="auto"/>
        <w:left w:val="none" w:sz="0" w:space="0" w:color="auto"/>
        <w:bottom w:val="none" w:sz="0" w:space="0" w:color="auto"/>
        <w:right w:val="none" w:sz="0" w:space="0" w:color="auto"/>
      </w:divBdr>
    </w:div>
    <w:div w:id="955676679">
      <w:bodyDiv w:val="1"/>
      <w:marLeft w:val="0"/>
      <w:marRight w:val="0"/>
      <w:marTop w:val="0"/>
      <w:marBottom w:val="0"/>
      <w:divBdr>
        <w:top w:val="none" w:sz="0" w:space="0" w:color="auto"/>
        <w:left w:val="none" w:sz="0" w:space="0" w:color="auto"/>
        <w:bottom w:val="none" w:sz="0" w:space="0" w:color="auto"/>
        <w:right w:val="none" w:sz="0" w:space="0" w:color="auto"/>
      </w:divBdr>
    </w:div>
    <w:div w:id="1025060977">
      <w:bodyDiv w:val="1"/>
      <w:marLeft w:val="0"/>
      <w:marRight w:val="0"/>
      <w:marTop w:val="0"/>
      <w:marBottom w:val="0"/>
      <w:divBdr>
        <w:top w:val="none" w:sz="0" w:space="0" w:color="auto"/>
        <w:left w:val="none" w:sz="0" w:space="0" w:color="auto"/>
        <w:bottom w:val="none" w:sz="0" w:space="0" w:color="auto"/>
        <w:right w:val="none" w:sz="0" w:space="0" w:color="auto"/>
      </w:divBdr>
    </w:div>
    <w:div w:id="1026445681">
      <w:bodyDiv w:val="1"/>
      <w:marLeft w:val="0"/>
      <w:marRight w:val="0"/>
      <w:marTop w:val="0"/>
      <w:marBottom w:val="0"/>
      <w:divBdr>
        <w:top w:val="none" w:sz="0" w:space="0" w:color="auto"/>
        <w:left w:val="none" w:sz="0" w:space="0" w:color="auto"/>
        <w:bottom w:val="none" w:sz="0" w:space="0" w:color="auto"/>
        <w:right w:val="none" w:sz="0" w:space="0" w:color="auto"/>
      </w:divBdr>
    </w:div>
    <w:div w:id="1096949484">
      <w:bodyDiv w:val="1"/>
      <w:marLeft w:val="0"/>
      <w:marRight w:val="0"/>
      <w:marTop w:val="0"/>
      <w:marBottom w:val="0"/>
      <w:divBdr>
        <w:top w:val="none" w:sz="0" w:space="0" w:color="auto"/>
        <w:left w:val="none" w:sz="0" w:space="0" w:color="auto"/>
        <w:bottom w:val="none" w:sz="0" w:space="0" w:color="auto"/>
        <w:right w:val="none" w:sz="0" w:space="0" w:color="auto"/>
      </w:divBdr>
    </w:div>
    <w:div w:id="1115247329">
      <w:bodyDiv w:val="1"/>
      <w:marLeft w:val="0"/>
      <w:marRight w:val="0"/>
      <w:marTop w:val="0"/>
      <w:marBottom w:val="0"/>
      <w:divBdr>
        <w:top w:val="none" w:sz="0" w:space="0" w:color="auto"/>
        <w:left w:val="none" w:sz="0" w:space="0" w:color="auto"/>
        <w:bottom w:val="none" w:sz="0" w:space="0" w:color="auto"/>
        <w:right w:val="none" w:sz="0" w:space="0" w:color="auto"/>
      </w:divBdr>
    </w:div>
    <w:div w:id="1147093534">
      <w:bodyDiv w:val="1"/>
      <w:marLeft w:val="0"/>
      <w:marRight w:val="0"/>
      <w:marTop w:val="0"/>
      <w:marBottom w:val="0"/>
      <w:divBdr>
        <w:top w:val="none" w:sz="0" w:space="0" w:color="auto"/>
        <w:left w:val="none" w:sz="0" w:space="0" w:color="auto"/>
        <w:bottom w:val="none" w:sz="0" w:space="0" w:color="auto"/>
        <w:right w:val="none" w:sz="0" w:space="0" w:color="auto"/>
      </w:divBdr>
    </w:div>
    <w:div w:id="1236818222">
      <w:bodyDiv w:val="1"/>
      <w:marLeft w:val="0"/>
      <w:marRight w:val="0"/>
      <w:marTop w:val="0"/>
      <w:marBottom w:val="0"/>
      <w:divBdr>
        <w:top w:val="none" w:sz="0" w:space="0" w:color="auto"/>
        <w:left w:val="none" w:sz="0" w:space="0" w:color="auto"/>
        <w:bottom w:val="none" w:sz="0" w:space="0" w:color="auto"/>
        <w:right w:val="none" w:sz="0" w:space="0" w:color="auto"/>
      </w:divBdr>
    </w:div>
    <w:div w:id="1285889265">
      <w:bodyDiv w:val="1"/>
      <w:marLeft w:val="0"/>
      <w:marRight w:val="0"/>
      <w:marTop w:val="0"/>
      <w:marBottom w:val="0"/>
      <w:divBdr>
        <w:top w:val="none" w:sz="0" w:space="0" w:color="auto"/>
        <w:left w:val="none" w:sz="0" w:space="0" w:color="auto"/>
        <w:bottom w:val="none" w:sz="0" w:space="0" w:color="auto"/>
        <w:right w:val="none" w:sz="0" w:space="0" w:color="auto"/>
      </w:divBdr>
    </w:div>
    <w:div w:id="1356037999">
      <w:bodyDiv w:val="1"/>
      <w:marLeft w:val="0"/>
      <w:marRight w:val="0"/>
      <w:marTop w:val="0"/>
      <w:marBottom w:val="0"/>
      <w:divBdr>
        <w:top w:val="none" w:sz="0" w:space="0" w:color="auto"/>
        <w:left w:val="none" w:sz="0" w:space="0" w:color="auto"/>
        <w:bottom w:val="none" w:sz="0" w:space="0" w:color="auto"/>
        <w:right w:val="none" w:sz="0" w:space="0" w:color="auto"/>
      </w:divBdr>
    </w:div>
    <w:div w:id="1371953580">
      <w:bodyDiv w:val="1"/>
      <w:marLeft w:val="0"/>
      <w:marRight w:val="0"/>
      <w:marTop w:val="0"/>
      <w:marBottom w:val="0"/>
      <w:divBdr>
        <w:top w:val="none" w:sz="0" w:space="0" w:color="auto"/>
        <w:left w:val="none" w:sz="0" w:space="0" w:color="auto"/>
        <w:bottom w:val="none" w:sz="0" w:space="0" w:color="auto"/>
        <w:right w:val="none" w:sz="0" w:space="0" w:color="auto"/>
      </w:divBdr>
    </w:div>
    <w:div w:id="1392801045">
      <w:bodyDiv w:val="1"/>
      <w:marLeft w:val="0"/>
      <w:marRight w:val="0"/>
      <w:marTop w:val="0"/>
      <w:marBottom w:val="0"/>
      <w:divBdr>
        <w:top w:val="none" w:sz="0" w:space="0" w:color="auto"/>
        <w:left w:val="none" w:sz="0" w:space="0" w:color="auto"/>
        <w:bottom w:val="none" w:sz="0" w:space="0" w:color="auto"/>
        <w:right w:val="none" w:sz="0" w:space="0" w:color="auto"/>
      </w:divBdr>
    </w:div>
    <w:div w:id="1396666774">
      <w:bodyDiv w:val="1"/>
      <w:marLeft w:val="0"/>
      <w:marRight w:val="0"/>
      <w:marTop w:val="0"/>
      <w:marBottom w:val="0"/>
      <w:divBdr>
        <w:top w:val="none" w:sz="0" w:space="0" w:color="auto"/>
        <w:left w:val="none" w:sz="0" w:space="0" w:color="auto"/>
        <w:bottom w:val="none" w:sz="0" w:space="0" w:color="auto"/>
        <w:right w:val="none" w:sz="0" w:space="0" w:color="auto"/>
      </w:divBdr>
    </w:div>
    <w:div w:id="1398355991">
      <w:bodyDiv w:val="1"/>
      <w:marLeft w:val="0"/>
      <w:marRight w:val="0"/>
      <w:marTop w:val="0"/>
      <w:marBottom w:val="0"/>
      <w:divBdr>
        <w:top w:val="none" w:sz="0" w:space="0" w:color="auto"/>
        <w:left w:val="none" w:sz="0" w:space="0" w:color="auto"/>
        <w:bottom w:val="none" w:sz="0" w:space="0" w:color="auto"/>
        <w:right w:val="none" w:sz="0" w:space="0" w:color="auto"/>
      </w:divBdr>
    </w:div>
    <w:div w:id="1453287681">
      <w:bodyDiv w:val="1"/>
      <w:marLeft w:val="0"/>
      <w:marRight w:val="0"/>
      <w:marTop w:val="0"/>
      <w:marBottom w:val="0"/>
      <w:divBdr>
        <w:top w:val="none" w:sz="0" w:space="0" w:color="auto"/>
        <w:left w:val="none" w:sz="0" w:space="0" w:color="auto"/>
        <w:bottom w:val="none" w:sz="0" w:space="0" w:color="auto"/>
        <w:right w:val="none" w:sz="0" w:space="0" w:color="auto"/>
      </w:divBdr>
    </w:div>
    <w:div w:id="1490945406">
      <w:bodyDiv w:val="1"/>
      <w:marLeft w:val="0"/>
      <w:marRight w:val="0"/>
      <w:marTop w:val="0"/>
      <w:marBottom w:val="0"/>
      <w:divBdr>
        <w:top w:val="none" w:sz="0" w:space="0" w:color="auto"/>
        <w:left w:val="none" w:sz="0" w:space="0" w:color="auto"/>
        <w:bottom w:val="none" w:sz="0" w:space="0" w:color="auto"/>
        <w:right w:val="none" w:sz="0" w:space="0" w:color="auto"/>
      </w:divBdr>
    </w:div>
    <w:div w:id="1539902173">
      <w:bodyDiv w:val="1"/>
      <w:marLeft w:val="0"/>
      <w:marRight w:val="0"/>
      <w:marTop w:val="0"/>
      <w:marBottom w:val="0"/>
      <w:divBdr>
        <w:top w:val="none" w:sz="0" w:space="0" w:color="auto"/>
        <w:left w:val="none" w:sz="0" w:space="0" w:color="auto"/>
        <w:bottom w:val="none" w:sz="0" w:space="0" w:color="auto"/>
        <w:right w:val="none" w:sz="0" w:space="0" w:color="auto"/>
      </w:divBdr>
    </w:div>
    <w:div w:id="1615794498">
      <w:bodyDiv w:val="1"/>
      <w:marLeft w:val="0"/>
      <w:marRight w:val="0"/>
      <w:marTop w:val="0"/>
      <w:marBottom w:val="0"/>
      <w:divBdr>
        <w:top w:val="none" w:sz="0" w:space="0" w:color="auto"/>
        <w:left w:val="none" w:sz="0" w:space="0" w:color="auto"/>
        <w:bottom w:val="none" w:sz="0" w:space="0" w:color="auto"/>
        <w:right w:val="none" w:sz="0" w:space="0" w:color="auto"/>
      </w:divBdr>
    </w:div>
    <w:div w:id="1752778408">
      <w:bodyDiv w:val="1"/>
      <w:marLeft w:val="0"/>
      <w:marRight w:val="0"/>
      <w:marTop w:val="0"/>
      <w:marBottom w:val="0"/>
      <w:divBdr>
        <w:top w:val="none" w:sz="0" w:space="0" w:color="auto"/>
        <w:left w:val="none" w:sz="0" w:space="0" w:color="auto"/>
        <w:bottom w:val="none" w:sz="0" w:space="0" w:color="auto"/>
        <w:right w:val="none" w:sz="0" w:space="0" w:color="auto"/>
      </w:divBdr>
    </w:div>
    <w:div w:id="1770395226">
      <w:bodyDiv w:val="1"/>
      <w:marLeft w:val="0"/>
      <w:marRight w:val="0"/>
      <w:marTop w:val="0"/>
      <w:marBottom w:val="0"/>
      <w:divBdr>
        <w:top w:val="none" w:sz="0" w:space="0" w:color="auto"/>
        <w:left w:val="none" w:sz="0" w:space="0" w:color="auto"/>
        <w:bottom w:val="none" w:sz="0" w:space="0" w:color="auto"/>
        <w:right w:val="none" w:sz="0" w:space="0" w:color="auto"/>
      </w:divBdr>
    </w:div>
    <w:div w:id="1809743573">
      <w:bodyDiv w:val="1"/>
      <w:marLeft w:val="0"/>
      <w:marRight w:val="0"/>
      <w:marTop w:val="0"/>
      <w:marBottom w:val="0"/>
      <w:divBdr>
        <w:top w:val="none" w:sz="0" w:space="0" w:color="auto"/>
        <w:left w:val="none" w:sz="0" w:space="0" w:color="auto"/>
        <w:bottom w:val="none" w:sz="0" w:space="0" w:color="auto"/>
        <w:right w:val="none" w:sz="0" w:space="0" w:color="auto"/>
      </w:divBdr>
    </w:div>
    <w:div w:id="1911766453">
      <w:bodyDiv w:val="1"/>
      <w:marLeft w:val="0"/>
      <w:marRight w:val="0"/>
      <w:marTop w:val="0"/>
      <w:marBottom w:val="0"/>
      <w:divBdr>
        <w:top w:val="none" w:sz="0" w:space="0" w:color="auto"/>
        <w:left w:val="none" w:sz="0" w:space="0" w:color="auto"/>
        <w:bottom w:val="none" w:sz="0" w:space="0" w:color="auto"/>
        <w:right w:val="none" w:sz="0" w:space="0" w:color="auto"/>
      </w:divBdr>
    </w:div>
    <w:div w:id="1921135068">
      <w:bodyDiv w:val="1"/>
      <w:marLeft w:val="0"/>
      <w:marRight w:val="0"/>
      <w:marTop w:val="0"/>
      <w:marBottom w:val="0"/>
      <w:divBdr>
        <w:top w:val="none" w:sz="0" w:space="0" w:color="auto"/>
        <w:left w:val="none" w:sz="0" w:space="0" w:color="auto"/>
        <w:bottom w:val="none" w:sz="0" w:space="0" w:color="auto"/>
        <w:right w:val="none" w:sz="0" w:space="0" w:color="auto"/>
      </w:divBdr>
    </w:div>
    <w:div w:id="1969118498">
      <w:bodyDiv w:val="1"/>
      <w:marLeft w:val="0"/>
      <w:marRight w:val="0"/>
      <w:marTop w:val="0"/>
      <w:marBottom w:val="0"/>
      <w:divBdr>
        <w:top w:val="none" w:sz="0" w:space="0" w:color="auto"/>
        <w:left w:val="none" w:sz="0" w:space="0" w:color="auto"/>
        <w:bottom w:val="none" w:sz="0" w:space="0" w:color="auto"/>
        <w:right w:val="none" w:sz="0" w:space="0" w:color="auto"/>
      </w:divBdr>
    </w:div>
    <w:div w:id="1978990711">
      <w:bodyDiv w:val="1"/>
      <w:marLeft w:val="0"/>
      <w:marRight w:val="0"/>
      <w:marTop w:val="0"/>
      <w:marBottom w:val="0"/>
      <w:divBdr>
        <w:top w:val="none" w:sz="0" w:space="0" w:color="auto"/>
        <w:left w:val="none" w:sz="0" w:space="0" w:color="auto"/>
        <w:bottom w:val="none" w:sz="0" w:space="0" w:color="auto"/>
        <w:right w:val="none" w:sz="0" w:space="0" w:color="auto"/>
      </w:divBdr>
    </w:div>
    <w:div w:id="1998458559">
      <w:bodyDiv w:val="1"/>
      <w:marLeft w:val="0"/>
      <w:marRight w:val="0"/>
      <w:marTop w:val="0"/>
      <w:marBottom w:val="0"/>
      <w:divBdr>
        <w:top w:val="none" w:sz="0" w:space="0" w:color="auto"/>
        <w:left w:val="none" w:sz="0" w:space="0" w:color="auto"/>
        <w:bottom w:val="none" w:sz="0" w:space="0" w:color="auto"/>
        <w:right w:val="none" w:sz="0" w:space="0" w:color="auto"/>
      </w:divBdr>
    </w:div>
    <w:div w:id="2051763218">
      <w:bodyDiv w:val="1"/>
      <w:marLeft w:val="0"/>
      <w:marRight w:val="0"/>
      <w:marTop w:val="0"/>
      <w:marBottom w:val="0"/>
      <w:divBdr>
        <w:top w:val="none" w:sz="0" w:space="0" w:color="auto"/>
        <w:left w:val="none" w:sz="0" w:space="0" w:color="auto"/>
        <w:bottom w:val="none" w:sz="0" w:space="0" w:color="auto"/>
        <w:right w:val="none" w:sz="0" w:space="0" w:color="auto"/>
      </w:divBdr>
    </w:div>
    <w:div w:id="21312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upbms@alane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0DEF4-F9A2-4AF4-A45D-52B1DC21D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Mech</dc:creator>
  <cp:lastModifiedBy>Bill Mech</cp:lastModifiedBy>
  <cp:revision>17</cp:revision>
  <cp:lastPrinted>2019-03-17T21:35:00Z</cp:lastPrinted>
  <dcterms:created xsi:type="dcterms:W3CDTF">2019-03-05T13:26:00Z</dcterms:created>
  <dcterms:modified xsi:type="dcterms:W3CDTF">2019-03-17T21:35:00Z</dcterms:modified>
</cp:coreProperties>
</file>