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FE2B2" w14:textId="169CBB9C" w:rsidR="0082482F" w:rsidRDefault="00CC38A4" w:rsidP="00312F87">
      <w:pPr>
        <w:pStyle w:val="Heading2"/>
      </w:pPr>
      <w:r>
        <w:t>Legal</w:t>
      </w:r>
      <w:r w:rsidR="003069E4">
        <w:t xml:space="preserve"> Branch </w:t>
      </w:r>
      <w:r w:rsidR="002D51E4">
        <w:t>Classifications</w:t>
      </w:r>
    </w:p>
    <w:p w14:paraId="1E787CD7" w14:textId="77777777" w:rsidR="002D51E4" w:rsidRDefault="002D51E4" w:rsidP="009578ED">
      <w:pPr>
        <w:spacing w:after="0"/>
      </w:pPr>
    </w:p>
    <w:p w14:paraId="6A1B1799" w14:textId="7CE518EB" w:rsidR="00A579C1" w:rsidRDefault="00CC38A4" w:rsidP="009578ED">
      <w:pPr>
        <w:spacing w:after="0"/>
      </w:pPr>
      <w:r>
        <w:t xml:space="preserve">The Legal Branch </w:t>
      </w:r>
      <w:r w:rsidR="006549C0">
        <w:t xml:space="preserve">is used to </w:t>
      </w:r>
      <w:r>
        <w:t>describe p</w:t>
      </w:r>
      <w:r w:rsidRPr="00CC38A4">
        <w:t>rocesses associated with professional assistance provided to lawyers</w:t>
      </w:r>
      <w:r w:rsidR="00AB3FF5">
        <w:rPr>
          <w:noProof/>
        </w:rPr>
        <w:drawing>
          <wp:anchor distT="0" distB="0" distL="114300" distR="114300" simplePos="0" relativeHeight="251658240" behindDoc="0" locked="0" layoutInCell="1" allowOverlap="1" wp14:anchorId="24D4E7E2" wp14:editId="3EA53F9C">
            <wp:simplePos x="933450" y="1924050"/>
            <wp:positionH relativeFrom="margin">
              <wp:align>right</wp:align>
            </wp:positionH>
            <wp:positionV relativeFrom="margin">
              <wp:align>top</wp:align>
            </wp:positionV>
            <wp:extent cx="1823085" cy="1017270"/>
            <wp:effectExtent l="19050" t="1905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e Struc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3085" cy="1017270"/>
                    </a:xfrm>
                    <a:prstGeom prst="rect">
                      <a:avLst/>
                    </a:prstGeom>
                    <a:ln>
                      <a:solidFill>
                        <a:schemeClr val="tx1"/>
                      </a:solidFill>
                    </a:ln>
                  </pic:spPr>
                </pic:pic>
              </a:graphicData>
            </a:graphic>
          </wp:anchor>
        </w:drawing>
      </w:r>
      <w:r w:rsidRPr="00CC38A4">
        <w:t xml:space="preserve"> directly related to the delivery of legal services, advice and counsel.</w:t>
      </w:r>
    </w:p>
    <w:p w14:paraId="504A7CEC" w14:textId="77777777" w:rsidR="00CC38A4" w:rsidRDefault="00CC38A4" w:rsidP="009578ED">
      <w:pPr>
        <w:spacing w:after="0"/>
      </w:pPr>
    </w:p>
    <w:p w14:paraId="0F5A0419" w14:textId="740DEE37" w:rsidR="002D51E4" w:rsidRDefault="002D51E4" w:rsidP="009578ED">
      <w:pPr>
        <w:spacing w:after="0"/>
      </w:pPr>
      <w:r>
        <w:t>Classifications represent t</w:t>
      </w:r>
      <w:r w:rsidRPr="002D51E4">
        <w:t xml:space="preserve">he highest organizational level within </w:t>
      </w:r>
      <w:r w:rsidR="003069E4">
        <w:t>each Branch</w:t>
      </w:r>
      <w:r w:rsidR="00A579C1">
        <w:t xml:space="preserve"> of</w:t>
      </w:r>
      <w:r w:rsidR="003069E4">
        <w:t xml:space="preserve"> </w:t>
      </w:r>
      <w:r w:rsidRPr="002D51E4">
        <w:t>the ALA U</w:t>
      </w:r>
      <w:r w:rsidR="00F42DD8">
        <w:t>P</w:t>
      </w:r>
      <w:r w:rsidRPr="002D51E4">
        <w:t>BMS Codes</w:t>
      </w:r>
      <w:r w:rsidR="00D519DD">
        <w:t>.  They are</w:t>
      </w:r>
      <w:r w:rsidRPr="002D51E4">
        <w:t xml:space="preserve"> used to organize the </w:t>
      </w:r>
      <w:r w:rsidR="00AC5DF4">
        <w:t>S</w:t>
      </w:r>
      <w:r w:rsidRPr="002D51E4">
        <w:t xml:space="preserve">ubstantive </w:t>
      </w:r>
      <w:r w:rsidR="00AC5DF4">
        <w:t>A</w:t>
      </w:r>
      <w:r w:rsidRPr="002D51E4">
        <w:t>reas into logical groupings.  While they may generally follow departmental structures</w:t>
      </w:r>
      <w:r w:rsidR="00D519DD">
        <w:t xml:space="preserve"> in some organizations</w:t>
      </w:r>
      <w:r w:rsidRPr="002D51E4">
        <w:t xml:space="preserve">, they are used more accurately to describe the nature of the </w:t>
      </w:r>
      <w:r w:rsidR="00AC5DF4">
        <w:t>activities</w:t>
      </w:r>
      <w:bookmarkStart w:id="0" w:name="_GoBack"/>
      <w:bookmarkEnd w:id="0"/>
      <w:r w:rsidRPr="002D51E4">
        <w:t xml:space="preserve"> detailed within each </w:t>
      </w:r>
      <w:r w:rsidR="00AC5DF4">
        <w:t>S</w:t>
      </w:r>
      <w:r w:rsidRPr="002D51E4">
        <w:t xml:space="preserve">ubstantive </w:t>
      </w:r>
      <w:r w:rsidR="00AC5DF4">
        <w:t>A</w:t>
      </w:r>
      <w:r w:rsidRPr="002D51E4">
        <w:t xml:space="preserve">rea and </w:t>
      </w:r>
      <w:r w:rsidR="00AC5DF4">
        <w:t>Processes</w:t>
      </w:r>
      <w:r w:rsidRPr="002D51E4">
        <w:t>.</w:t>
      </w:r>
    </w:p>
    <w:p w14:paraId="0B5BEB35" w14:textId="77777777" w:rsidR="002D51E4" w:rsidRDefault="002D51E4" w:rsidP="009578ED">
      <w:pPr>
        <w:spacing w:after="0"/>
      </w:pPr>
    </w:p>
    <w:p w14:paraId="778489B5" w14:textId="087A546D" w:rsidR="00A579C1" w:rsidRPr="00D5023A" w:rsidRDefault="00CC38A4" w:rsidP="00A579C1">
      <w:pPr>
        <w:spacing w:after="0"/>
        <w:rPr>
          <w:b/>
        </w:rPr>
      </w:pPr>
      <w:r>
        <w:rPr>
          <w:b/>
        </w:rPr>
        <w:t>Litigation (LT)</w:t>
      </w:r>
    </w:p>
    <w:p w14:paraId="32A3EB07" w14:textId="77777777" w:rsidR="00A579C1" w:rsidRDefault="00A579C1" w:rsidP="00A579C1">
      <w:pPr>
        <w:spacing w:after="0"/>
      </w:pPr>
    </w:p>
    <w:p w14:paraId="7760C0B4" w14:textId="15255259" w:rsidR="00A579C1" w:rsidRDefault="00CC38A4" w:rsidP="00A579C1">
      <w:pPr>
        <w:spacing w:after="0"/>
        <w:rPr>
          <w:rFonts w:ascii="Calibri" w:eastAsia="Times New Roman" w:hAnsi="Calibri" w:cs="Calibri"/>
        </w:rPr>
      </w:pPr>
      <w:r w:rsidRPr="00CC38A4">
        <w:rPr>
          <w:rFonts w:ascii="Calibri" w:eastAsia="Times New Roman" w:hAnsi="Calibri" w:cs="Calibri"/>
        </w:rPr>
        <w:t>The professional assistance provided to lawyers in the litigation process. Those involved in litigation support (such as computer forensics) perform investigative data collection, preservation, discovery, analysis and verification.  This category applies to all contested matters including judicial litigation, binding arbitration and regulatory/administrative proceedings. This category excludes Workers' Compensation cases as there is a specific section for those activities.</w:t>
      </w:r>
    </w:p>
    <w:p w14:paraId="53D4D23C" w14:textId="77777777" w:rsidR="00CC38A4" w:rsidRDefault="00CC38A4" w:rsidP="00A579C1">
      <w:pPr>
        <w:spacing w:after="0"/>
      </w:pPr>
    </w:p>
    <w:p w14:paraId="1B547CD0" w14:textId="215855D8" w:rsidR="00A579C1" w:rsidRDefault="00A579C1" w:rsidP="00A579C1">
      <w:pPr>
        <w:spacing w:after="0"/>
      </w:pPr>
      <w:r>
        <w:t xml:space="preserve">Substantive </w:t>
      </w:r>
      <w:r w:rsidR="005C290A">
        <w:t>A</w:t>
      </w:r>
      <w:r>
        <w:t>reas within this Classification:</w:t>
      </w:r>
    </w:p>
    <w:p w14:paraId="1344F29C" w14:textId="77777777" w:rsidR="00A579C1" w:rsidRDefault="00A579C1" w:rsidP="00A579C1">
      <w:pPr>
        <w:spacing w:after="0"/>
      </w:pPr>
    </w:p>
    <w:p w14:paraId="5F7C1C36" w14:textId="77777777" w:rsidR="00CC38A4" w:rsidRDefault="00CC38A4" w:rsidP="00CC38A4">
      <w:pPr>
        <w:spacing w:after="0"/>
        <w:ind w:left="720"/>
      </w:pPr>
      <w:r>
        <w:t>LT10</w:t>
      </w:r>
      <w:r>
        <w:tab/>
        <w:t>Case Assessment, Development and Administration</w:t>
      </w:r>
      <w:r>
        <w:tab/>
      </w:r>
      <w:r>
        <w:tab/>
      </w:r>
    </w:p>
    <w:p w14:paraId="37533CED" w14:textId="77777777" w:rsidR="00CC38A4" w:rsidRDefault="00CC38A4" w:rsidP="00CC38A4">
      <w:pPr>
        <w:spacing w:after="0"/>
        <w:ind w:left="720"/>
      </w:pPr>
      <w:r>
        <w:t>LT15</w:t>
      </w:r>
      <w:r>
        <w:tab/>
        <w:t>Pre-Trial Pleadings and Motions</w:t>
      </w:r>
      <w:r>
        <w:tab/>
      </w:r>
      <w:r>
        <w:tab/>
      </w:r>
    </w:p>
    <w:p w14:paraId="0F552CDD" w14:textId="77777777" w:rsidR="00CC38A4" w:rsidRDefault="00CC38A4" w:rsidP="00CC38A4">
      <w:pPr>
        <w:spacing w:after="0"/>
        <w:ind w:left="720"/>
      </w:pPr>
      <w:r>
        <w:t>LT20</w:t>
      </w:r>
      <w:r>
        <w:tab/>
        <w:t>Discovery</w:t>
      </w:r>
      <w:r>
        <w:tab/>
      </w:r>
      <w:r>
        <w:tab/>
      </w:r>
    </w:p>
    <w:p w14:paraId="51A6C8D1" w14:textId="77777777" w:rsidR="00CC38A4" w:rsidRDefault="00CC38A4" w:rsidP="00CC38A4">
      <w:pPr>
        <w:spacing w:after="0"/>
        <w:ind w:left="720"/>
      </w:pPr>
      <w:r>
        <w:t>LT25</w:t>
      </w:r>
      <w:r>
        <w:tab/>
        <w:t>eDiscovery</w:t>
      </w:r>
      <w:r>
        <w:tab/>
      </w:r>
      <w:r>
        <w:tab/>
      </w:r>
    </w:p>
    <w:p w14:paraId="0672CC0D" w14:textId="77777777" w:rsidR="00CC38A4" w:rsidRDefault="00CC38A4" w:rsidP="00CC38A4">
      <w:pPr>
        <w:spacing w:after="0"/>
        <w:ind w:left="720"/>
      </w:pPr>
      <w:r>
        <w:t>LT30</w:t>
      </w:r>
      <w:r>
        <w:tab/>
        <w:t>Trial Preparation and Trial</w:t>
      </w:r>
      <w:r>
        <w:tab/>
      </w:r>
      <w:r>
        <w:tab/>
      </w:r>
    </w:p>
    <w:p w14:paraId="7D0AC531" w14:textId="77777777" w:rsidR="00CC38A4" w:rsidRDefault="00CC38A4" w:rsidP="00CC38A4">
      <w:pPr>
        <w:spacing w:after="0"/>
        <w:ind w:left="720"/>
      </w:pPr>
      <w:r>
        <w:t>LT35</w:t>
      </w:r>
      <w:r>
        <w:tab/>
        <w:t>Appeal</w:t>
      </w:r>
      <w:r>
        <w:tab/>
      </w:r>
      <w:r>
        <w:tab/>
      </w:r>
    </w:p>
    <w:p w14:paraId="17CDD9E1" w14:textId="77777777" w:rsidR="00CC38A4" w:rsidRDefault="00CC38A4" w:rsidP="00CC38A4">
      <w:pPr>
        <w:spacing w:after="0"/>
        <w:ind w:left="720"/>
      </w:pPr>
      <w:r>
        <w:t>LT40</w:t>
      </w:r>
      <w:r>
        <w:tab/>
        <w:t>Exemplar and Exhibit Disposition</w:t>
      </w:r>
    </w:p>
    <w:p w14:paraId="3BD3AF4B" w14:textId="27162673" w:rsidR="00A579C1" w:rsidRDefault="00CC38A4" w:rsidP="00CC38A4">
      <w:pPr>
        <w:spacing w:after="0"/>
      </w:pPr>
      <w:r>
        <w:tab/>
      </w:r>
    </w:p>
    <w:p w14:paraId="08E641C0" w14:textId="35CD5971" w:rsidR="009578ED" w:rsidRDefault="005709FC" w:rsidP="009578ED">
      <w:pPr>
        <w:spacing w:after="0"/>
        <w:rPr>
          <w:b/>
        </w:rPr>
      </w:pPr>
      <w:r w:rsidRPr="005709FC">
        <w:rPr>
          <w:b/>
        </w:rPr>
        <w:t>Transaction/M&amp;A (Project)</w:t>
      </w:r>
      <w:r w:rsidR="007326E0">
        <w:rPr>
          <w:b/>
        </w:rPr>
        <w:t xml:space="preserve"> (</w:t>
      </w:r>
      <w:r>
        <w:rPr>
          <w:b/>
        </w:rPr>
        <w:t>T</w:t>
      </w:r>
      <w:r w:rsidR="007326E0">
        <w:rPr>
          <w:b/>
        </w:rPr>
        <w:t>N)</w:t>
      </w:r>
    </w:p>
    <w:p w14:paraId="047522F8" w14:textId="77777777" w:rsidR="008D03E6" w:rsidRPr="008D03E6" w:rsidRDefault="008D03E6" w:rsidP="009578ED">
      <w:pPr>
        <w:spacing w:after="0"/>
      </w:pPr>
    </w:p>
    <w:p w14:paraId="7E167446" w14:textId="7DB72C26" w:rsidR="00BD27EB" w:rsidRDefault="005709FC" w:rsidP="009578ED">
      <w:pPr>
        <w:spacing w:after="0"/>
        <w:rPr>
          <w:rFonts w:ascii="Calibri" w:eastAsia="Times New Roman" w:hAnsi="Calibri" w:cs="Calibri"/>
        </w:rPr>
      </w:pPr>
      <w:r w:rsidRPr="005709FC">
        <w:rPr>
          <w:rFonts w:ascii="Calibri" w:eastAsia="Times New Roman" w:hAnsi="Calibri" w:cs="Calibri"/>
        </w:rPr>
        <w:t>The support of deals or transactions (e.g., real estate, securities, financings, restructurings, mergers and acquisitions), administrative filings with federal and state agencies, and stand-alone projects (e.g., establishing an environmental compliance program).</w:t>
      </w:r>
    </w:p>
    <w:p w14:paraId="77259C8C" w14:textId="77777777" w:rsidR="005709FC" w:rsidRPr="008D03E6" w:rsidRDefault="005709FC" w:rsidP="009578ED">
      <w:pPr>
        <w:spacing w:after="0"/>
      </w:pPr>
    </w:p>
    <w:p w14:paraId="204F3D35" w14:textId="45866A11" w:rsidR="008D03E6" w:rsidRDefault="008D03E6" w:rsidP="008D03E6">
      <w:pPr>
        <w:spacing w:after="0"/>
      </w:pPr>
      <w:r>
        <w:t>Substantive</w:t>
      </w:r>
      <w:r w:rsidR="005C290A">
        <w:t xml:space="preserve"> A</w:t>
      </w:r>
      <w:r>
        <w:t xml:space="preserve">reas within this </w:t>
      </w:r>
      <w:r w:rsidR="00BD27EB">
        <w:t>C</w:t>
      </w:r>
      <w:r>
        <w:t>lassification:</w:t>
      </w:r>
    </w:p>
    <w:p w14:paraId="1AEBCEC8" w14:textId="77777777" w:rsidR="008D03E6" w:rsidRPr="002D51E4" w:rsidRDefault="008D03E6" w:rsidP="009578ED">
      <w:pPr>
        <w:spacing w:after="0"/>
        <w:rPr>
          <w:b/>
        </w:rPr>
      </w:pPr>
    </w:p>
    <w:p w14:paraId="5568DDD7" w14:textId="77777777" w:rsidR="005709FC" w:rsidRDefault="005709FC" w:rsidP="005709FC">
      <w:pPr>
        <w:spacing w:after="0"/>
        <w:ind w:left="720"/>
      </w:pPr>
      <w:r>
        <w:t>TN10</w:t>
      </w:r>
      <w:r>
        <w:tab/>
        <w:t>Deal Management</w:t>
      </w:r>
      <w:r>
        <w:tab/>
      </w:r>
      <w:r>
        <w:tab/>
      </w:r>
    </w:p>
    <w:p w14:paraId="33136C07" w14:textId="77777777" w:rsidR="005709FC" w:rsidRDefault="005709FC" w:rsidP="005709FC">
      <w:pPr>
        <w:spacing w:after="0"/>
        <w:ind w:left="720"/>
      </w:pPr>
      <w:r>
        <w:t>TN15</w:t>
      </w:r>
      <w:r>
        <w:tab/>
        <w:t>Preliminary Matters</w:t>
      </w:r>
      <w:r>
        <w:tab/>
      </w:r>
      <w:r>
        <w:tab/>
      </w:r>
    </w:p>
    <w:p w14:paraId="0B242A1A" w14:textId="77777777" w:rsidR="005709FC" w:rsidRDefault="005709FC" w:rsidP="005709FC">
      <w:pPr>
        <w:spacing w:after="0"/>
        <w:ind w:left="720"/>
      </w:pPr>
      <w:r>
        <w:t>TN20</w:t>
      </w:r>
      <w:r>
        <w:tab/>
        <w:t>Initial Document Preparation</w:t>
      </w:r>
      <w:r>
        <w:tab/>
      </w:r>
      <w:r>
        <w:tab/>
      </w:r>
    </w:p>
    <w:p w14:paraId="056FEDF5" w14:textId="77777777" w:rsidR="005709FC" w:rsidRDefault="005709FC" w:rsidP="005709FC">
      <w:pPr>
        <w:spacing w:after="0"/>
        <w:ind w:left="720"/>
      </w:pPr>
      <w:r>
        <w:t>TN25</w:t>
      </w:r>
      <w:r>
        <w:tab/>
        <w:t>Due Diligence and Disclosure Schedules</w:t>
      </w:r>
      <w:r>
        <w:tab/>
      </w:r>
      <w:r>
        <w:tab/>
      </w:r>
    </w:p>
    <w:p w14:paraId="3208808F" w14:textId="77777777" w:rsidR="005709FC" w:rsidRDefault="005709FC" w:rsidP="005709FC">
      <w:pPr>
        <w:spacing w:after="0"/>
        <w:ind w:left="720"/>
      </w:pPr>
      <w:r>
        <w:t>TN30</w:t>
      </w:r>
      <w:r>
        <w:tab/>
        <w:t>Negotiation/Revision/Response</w:t>
      </w:r>
      <w:r>
        <w:tab/>
      </w:r>
      <w:r>
        <w:tab/>
      </w:r>
    </w:p>
    <w:p w14:paraId="0B38BC67" w14:textId="77777777" w:rsidR="005709FC" w:rsidRDefault="005709FC" w:rsidP="005709FC">
      <w:pPr>
        <w:spacing w:after="0"/>
        <w:ind w:left="720"/>
      </w:pPr>
      <w:r>
        <w:lastRenderedPageBreak/>
        <w:t>TN35</w:t>
      </w:r>
      <w:r>
        <w:tab/>
        <w:t>Financing</w:t>
      </w:r>
      <w:r>
        <w:tab/>
      </w:r>
      <w:r>
        <w:tab/>
      </w:r>
    </w:p>
    <w:p w14:paraId="1AA075B7" w14:textId="77777777" w:rsidR="005709FC" w:rsidRDefault="005709FC" w:rsidP="005709FC">
      <w:pPr>
        <w:spacing w:after="0"/>
        <w:ind w:left="720"/>
      </w:pPr>
      <w:r>
        <w:t>TN40</w:t>
      </w:r>
      <w:r>
        <w:tab/>
        <w:t>Regulatory and Specialty Matters</w:t>
      </w:r>
      <w:r>
        <w:tab/>
      </w:r>
      <w:r>
        <w:tab/>
      </w:r>
    </w:p>
    <w:p w14:paraId="18D0AD19" w14:textId="77777777" w:rsidR="005709FC" w:rsidRDefault="005709FC" w:rsidP="005709FC">
      <w:pPr>
        <w:spacing w:after="0"/>
        <w:ind w:left="720"/>
      </w:pPr>
      <w:r>
        <w:t>TN45</w:t>
      </w:r>
      <w:r>
        <w:tab/>
        <w:t>Shareholder/Board Matters</w:t>
      </w:r>
      <w:r>
        <w:tab/>
      </w:r>
      <w:r>
        <w:tab/>
      </w:r>
    </w:p>
    <w:p w14:paraId="188D53BA" w14:textId="77777777" w:rsidR="005709FC" w:rsidRDefault="005709FC" w:rsidP="005709FC">
      <w:pPr>
        <w:spacing w:after="0"/>
        <w:ind w:left="720"/>
      </w:pPr>
      <w:r>
        <w:t>TN50</w:t>
      </w:r>
      <w:r>
        <w:tab/>
        <w:t>Closing Matters</w:t>
      </w:r>
      <w:r>
        <w:tab/>
      </w:r>
      <w:r>
        <w:tab/>
      </w:r>
    </w:p>
    <w:p w14:paraId="00D1D087" w14:textId="77777777" w:rsidR="005709FC" w:rsidRDefault="005709FC" w:rsidP="005709FC">
      <w:pPr>
        <w:spacing w:after="0"/>
        <w:ind w:left="720"/>
      </w:pPr>
      <w:r>
        <w:t>TN55</w:t>
      </w:r>
      <w:r>
        <w:tab/>
        <w:t>Integration Matters (M&amp;A)</w:t>
      </w:r>
      <w:r>
        <w:tab/>
      </w:r>
      <w:r>
        <w:tab/>
      </w:r>
    </w:p>
    <w:p w14:paraId="0C39893D" w14:textId="77777777" w:rsidR="005709FC" w:rsidRDefault="005709FC" w:rsidP="005709FC">
      <w:pPr>
        <w:spacing w:after="0"/>
        <w:ind w:left="720"/>
      </w:pPr>
      <w:r>
        <w:t>TN60</w:t>
      </w:r>
      <w:r>
        <w:tab/>
        <w:t>Post-Closing Requirements, Disputes &amp; Adjustments</w:t>
      </w:r>
      <w:r>
        <w:tab/>
      </w:r>
      <w:r>
        <w:tab/>
      </w:r>
    </w:p>
    <w:p w14:paraId="6A1200F9" w14:textId="564B88AF" w:rsidR="001016A2" w:rsidRDefault="005709FC" w:rsidP="00BD27EB">
      <w:pPr>
        <w:spacing w:after="0"/>
        <w:ind w:left="720"/>
      </w:pPr>
      <w:r>
        <w:t>TN65</w:t>
      </w:r>
      <w:r>
        <w:tab/>
        <w:t>Maintenance and Renewal</w:t>
      </w:r>
    </w:p>
    <w:p w14:paraId="0383D6B2" w14:textId="77777777" w:rsidR="001016A2" w:rsidRDefault="001016A2" w:rsidP="00BD27EB">
      <w:pPr>
        <w:spacing w:after="0"/>
        <w:ind w:left="720"/>
      </w:pPr>
    </w:p>
    <w:p w14:paraId="55DFB9FF" w14:textId="3FA558DB" w:rsidR="009578ED" w:rsidRPr="00C26E47" w:rsidRDefault="004D73ED" w:rsidP="009578ED">
      <w:pPr>
        <w:spacing w:after="0"/>
        <w:rPr>
          <w:b/>
        </w:rPr>
      </w:pPr>
      <w:r>
        <w:rPr>
          <w:b/>
        </w:rPr>
        <w:t>Patent</w:t>
      </w:r>
      <w:r w:rsidR="007326E0">
        <w:rPr>
          <w:b/>
        </w:rPr>
        <w:t xml:space="preserve"> (</w:t>
      </w:r>
      <w:r>
        <w:rPr>
          <w:b/>
        </w:rPr>
        <w:t>PT</w:t>
      </w:r>
      <w:r w:rsidR="007326E0">
        <w:rPr>
          <w:b/>
        </w:rPr>
        <w:t>)</w:t>
      </w:r>
    </w:p>
    <w:p w14:paraId="02EF3CF0" w14:textId="77777777" w:rsidR="00376434" w:rsidRDefault="00376434" w:rsidP="00376434">
      <w:pPr>
        <w:spacing w:after="0"/>
      </w:pPr>
    </w:p>
    <w:p w14:paraId="56C8D410" w14:textId="7CA34CC9" w:rsidR="008A2734" w:rsidRDefault="004D73ED" w:rsidP="00376434">
      <w:pPr>
        <w:spacing w:after="0"/>
        <w:rPr>
          <w:rFonts w:ascii="Calibri" w:eastAsia="Times New Roman" w:hAnsi="Calibri" w:cs="Calibri"/>
        </w:rPr>
      </w:pPr>
      <w:r w:rsidRPr="004D73ED">
        <w:rPr>
          <w:rFonts w:ascii="Calibri" w:eastAsia="Times New Roman" w:hAnsi="Calibri" w:cs="Calibri"/>
        </w:rPr>
        <w:t>Support of the assessment, development and administration of patents. Includes patent investigation and analysis, domestic and international patent preparation, domestic and international patent prosecution, and related activities.</w:t>
      </w:r>
    </w:p>
    <w:p w14:paraId="1FC5B29B" w14:textId="77777777" w:rsidR="004D73ED" w:rsidRDefault="004D73ED" w:rsidP="00376434">
      <w:pPr>
        <w:spacing w:after="0"/>
      </w:pPr>
    </w:p>
    <w:p w14:paraId="56B346DF" w14:textId="6D167867" w:rsidR="00376434" w:rsidRDefault="00376434" w:rsidP="00376434">
      <w:pPr>
        <w:spacing w:after="0"/>
      </w:pPr>
      <w:r>
        <w:t xml:space="preserve">Substantive </w:t>
      </w:r>
      <w:r w:rsidR="008A2734">
        <w:t>A</w:t>
      </w:r>
      <w:r>
        <w:t xml:space="preserve">reas within this </w:t>
      </w:r>
      <w:r w:rsidR="008A2734">
        <w:t>C</w:t>
      </w:r>
      <w:r>
        <w:t>lassification:</w:t>
      </w:r>
    </w:p>
    <w:p w14:paraId="36B2AD88" w14:textId="77777777" w:rsidR="00C26E47" w:rsidRDefault="00C26E47" w:rsidP="00376434">
      <w:pPr>
        <w:spacing w:after="0"/>
      </w:pPr>
    </w:p>
    <w:p w14:paraId="5039DD1A" w14:textId="77777777" w:rsidR="004D73ED" w:rsidRDefault="004D73ED" w:rsidP="004D73ED">
      <w:pPr>
        <w:spacing w:after="0"/>
        <w:ind w:left="720"/>
      </w:pPr>
      <w:r>
        <w:t>PT10</w:t>
      </w:r>
      <w:r>
        <w:tab/>
        <w:t>Assessment, Development, and Administration</w:t>
      </w:r>
      <w:r>
        <w:tab/>
      </w:r>
      <w:r>
        <w:tab/>
      </w:r>
    </w:p>
    <w:p w14:paraId="56E40583" w14:textId="77777777" w:rsidR="004D73ED" w:rsidRDefault="004D73ED" w:rsidP="004D73ED">
      <w:pPr>
        <w:spacing w:after="0"/>
        <w:ind w:left="720"/>
      </w:pPr>
      <w:r>
        <w:t>PT15</w:t>
      </w:r>
      <w:r>
        <w:tab/>
        <w:t>Patent Investigation and Analysis</w:t>
      </w:r>
      <w:r>
        <w:tab/>
      </w:r>
      <w:r>
        <w:tab/>
      </w:r>
    </w:p>
    <w:p w14:paraId="04B44EFB" w14:textId="77777777" w:rsidR="004D73ED" w:rsidRDefault="004D73ED" w:rsidP="004D73ED">
      <w:pPr>
        <w:spacing w:after="0"/>
        <w:ind w:left="720"/>
      </w:pPr>
      <w:r>
        <w:t>PT20</w:t>
      </w:r>
      <w:r>
        <w:tab/>
        <w:t>Domestic Patent Preparation</w:t>
      </w:r>
      <w:r>
        <w:tab/>
      </w:r>
      <w:r>
        <w:tab/>
      </w:r>
    </w:p>
    <w:p w14:paraId="1446A53D" w14:textId="77777777" w:rsidR="004D73ED" w:rsidRDefault="004D73ED" w:rsidP="004D73ED">
      <w:pPr>
        <w:spacing w:after="0"/>
        <w:ind w:left="720"/>
      </w:pPr>
      <w:r>
        <w:t>PT25</w:t>
      </w:r>
      <w:r>
        <w:tab/>
        <w:t>Domestic Patent Prosecution</w:t>
      </w:r>
      <w:r>
        <w:tab/>
      </w:r>
      <w:r>
        <w:tab/>
      </w:r>
    </w:p>
    <w:p w14:paraId="753DD585" w14:textId="77777777" w:rsidR="004D73ED" w:rsidRDefault="004D73ED" w:rsidP="004D73ED">
      <w:pPr>
        <w:spacing w:after="0"/>
        <w:ind w:left="720"/>
      </w:pPr>
      <w:r>
        <w:t>PT30</w:t>
      </w:r>
      <w:r>
        <w:tab/>
        <w:t>International Patent Preparation</w:t>
      </w:r>
      <w:r>
        <w:tab/>
      </w:r>
      <w:r>
        <w:tab/>
      </w:r>
    </w:p>
    <w:p w14:paraId="603550A4" w14:textId="77777777" w:rsidR="004D73ED" w:rsidRDefault="004D73ED" w:rsidP="004D73ED">
      <w:pPr>
        <w:spacing w:after="0"/>
        <w:ind w:left="720"/>
      </w:pPr>
      <w:r>
        <w:t>PT35</w:t>
      </w:r>
      <w:r>
        <w:tab/>
        <w:t>International Patent Prosecution</w:t>
      </w:r>
      <w:r>
        <w:tab/>
      </w:r>
      <w:r>
        <w:tab/>
      </w:r>
    </w:p>
    <w:p w14:paraId="59B24717" w14:textId="3403BBF6" w:rsidR="008A2734" w:rsidRDefault="004D73ED" w:rsidP="004D73ED">
      <w:pPr>
        <w:spacing w:after="0"/>
        <w:ind w:left="720"/>
      </w:pPr>
      <w:r>
        <w:t>PT40</w:t>
      </w:r>
      <w:r>
        <w:tab/>
        <w:t>Other Patent-Related Tasks</w:t>
      </w:r>
    </w:p>
    <w:p w14:paraId="0E4EAD41" w14:textId="77777777" w:rsidR="004D73ED" w:rsidRDefault="004D73ED" w:rsidP="004D73ED">
      <w:pPr>
        <w:spacing w:after="0"/>
      </w:pPr>
    </w:p>
    <w:p w14:paraId="3BB0F4F9" w14:textId="1A247C1F" w:rsidR="009578ED" w:rsidRPr="00D5023A" w:rsidRDefault="000D1361" w:rsidP="009578ED">
      <w:pPr>
        <w:spacing w:after="0"/>
        <w:rPr>
          <w:b/>
        </w:rPr>
      </w:pPr>
      <w:r>
        <w:rPr>
          <w:b/>
        </w:rPr>
        <w:t>Trademark</w:t>
      </w:r>
      <w:r w:rsidR="007326E0">
        <w:rPr>
          <w:b/>
        </w:rPr>
        <w:t xml:space="preserve"> (</w:t>
      </w:r>
      <w:r>
        <w:rPr>
          <w:b/>
        </w:rPr>
        <w:t>TM</w:t>
      </w:r>
      <w:r w:rsidR="007326E0">
        <w:rPr>
          <w:b/>
        </w:rPr>
        <w:t>)</w:t>
      </w:r>
    </w:p>
    <w:p w14:paraId="0EB2D87D" w14:textId="77777777" w:rsidR="00D5023A" w:rsidRDefault="00D5023A" w:rsidP="00D5023A">
      <w:pPr>
        <w:spacing w:after="0"/>
      </w:pPr>
    </w:p>
    <w:p w14:paraId="551C9656" w14:textId="382941B4" w:rsidR="00DC1501" w:rsidRDefault="000D1361" w:rsidP="009578ED">
      <w:pPr>
        <w:spacing w:after="0"/>
        <w:rPr>
          <w:rFonts w:ascii="Calibri" w:eastAsia="Times New Roman" w:hAnsi="Calibri" w:cs="Calibri"/>
        </w:rPr>
      </w:pPr>
      <w:r w:rsidRPr="000D1361">
        <w:rPr>
          <w:rFonts w:ascii="Calibri" w:eastAsia="Times New Roman" w:hAnsi="Calibri" w:cs="Calibri"/>
        </w:rPr>
        <w:t>The support of representations related to the assessment, development and administration of trademarks. Includes trademark investigation and analysis, domestic and international trademark application preparation, domestic and international trademark prosecution and renewal, and related activities.</w:t>
      </w:r>
    </w:p>
    <w:p w14:paraId="21CA5B67" w14:textId="77777777" w:rsidR="000D1361" w:rsidRDefault="000D1361" w:rsidP="009578ED">
      <w:pPr>
        <w:spacing w:after="0"/>
      </w:pPr>
    </w:p>
    <w:p w14:paraId="2A053EBD" w14:textId="6FD810B9" w:rsidR="001B2D50" w:rsidRDefault="001B2D50" w:rsidP="001B2D50">
      <w:pPr>
        <w:spacing w:after="0"/>
      </w:pPr>
      <w:r>
        <w:t xml:space="preserve">Substantive </w:t>
      </w:r>
      <w:r w:rsidR="00DC1501">
        <w:t>A</w:t>
      </w:r>
      <w:r>
        <w:t xml:space="preserve">reas within this </w:t>
      </w:r>
      <w:r w:rsidR="00DC1501">
        <w:t>C</w:t>
      </w:r>
      <w:r>
        <w:t>lassification:</w:t>
      </w:r>
    </w:p>
    <w:p w14:paraId="264498CD" w14:textId="77777777" w:rsidR="001B2D50" w:rsidRDefault="001B2D50" w:rsidP="009578ED">
      <w:pPr>
        <w:spacing w:after="0"/>
      </w:pPr>
    </w:p>
    <w:p w14:paraId="26BD1819" w14:textId="77777777" w:rsidR="000D1361" w:rsidRDefault="000D1361" w:rsidP="000D1361">
      <w:pPr>
        <w:spacing w:after="0"/>
        <w:ind w:left="720"/>
      </w:pPr>
      <w:r>
        <w:t>TM10</w:t>
      </w:r>
      <w:r>
        <w:tab/>
        <w:t>Assessment, Development, and Administration</w:t>
      </w:r>
      <w:r>
        <w:tab/>
      </w:r>
      <w:r>
        <w:tab/>
      </w:r>
    </w:p>
    <w:p w14:paraId="3F523FEA" w14:textId="77777777" w:rsidR="000D1361" w:rsidRDefault="000D1361" w:rsidP="000D1361">
      <w:pPr>
        <w:spacing w:after="0"/>
        <w:ind w:left="720"/>
      </w:pPr>
      <w:r>
        <w:t>TM15</w:t>
      </w:r>
      <w:r>
        <w:tab/>
        <w:t>Trademark Investigation and Analysis</w:t>
      </w:r>
      <w:r>
        <w:tab/>
      </w:r>
      <w:r>
        <w:tab/>
      </w:r>
    </w:p>
    <w:p w14:paraId="516ABCC3" w14:textId="77777777" w:rsidR="000D1361" w:rsidRDefault="000D1361" w:rsidP="000D1361">
      <w:pPr>
        <w:spacing w:after="0"/>
        <w:ind w:left="720"/>
      </w:pPr>
      <w:r>
        <w:t>TM20</w:t>
      </w:r>
      <w:r>
        <w:tab/>
        <w:t>Domestic Trademark Application Preparation</w:t>
      </w:r>
      <w:r>
        <w:tab/>
      </w:r>
      <w:r>
        <w:tab/>
      </w:r>
    </w:p>
    <w:p w14:paraId="06D86CFE" w14:textId="77777777" w:rsidR="000D1361" w:rsidRDefault="000D1361" w:rsidP="000D1361">
      <w:pPr>
        <w:spacing w:after="0"/>
        <w:ind w:left="720"/>
      </w:pPr>
      <w:r>
        <w:t>TM25</w:t>
      </w:r>
      <w:r>
        <w:tab/>
        <w:t>Domestic Trademark Prosecution and Renewal</w:t>
      </w:r>
      <w:r>
        <w:tab/>
      </w:r>
      <w:r>
        <w:tab/>
      </w:r>
    </w:p>
    <w:p w14:paraId="37DA122F" w14:textId="77777777" w:rsidR="000D1361" w:rsidRDefault="000D1361" w:rsidP="000D1361">
      <w:pPr>
        <w:spacing w:after="0"/>
        <w:ind w:left="720"/>
      </w:pPr>
      <w:r>
        <w:t>TM30</w:t>
      </w:r>
      <w:r>
        <w:tab/>
        <w:t>International Trademark Application Preparation and Renewals</w:t>
      </w:r>
      <w:r>
        <w:tab/>
      </w:r>
      <w:r>
        <w:tab/>
      </w:r>
    </w:p>
    <w:p w14:paraId="43F85A9C" w14:textId="77777777" w:rsidR="000D1361" w:rsidRDefault="000D1361" w:rsidP="000D1361">
      <w:pPr>
        <w:spacing w:after="0"/>
        <w:ind w:left="720"/>
      </w:pPr>
      <w:r>
        <w:t>TM35</w:t>
      </w:r>
      <w:r>
        <w:tab/>
        <w:t>International Trademark Prosecution and Renewal</w:t>
      </w:r>
      <w:r>
        <w:tab/>
      </w:r>
      <w:r>
        <w:tab/>
      </w:r>
    </w:p>
    <w:p w14:paraId="7539428C" w14:textId="711E7CBE" w:rsidR="009578ED" w:rsidRDefault="000D1361" w:rsidP="000D1361">
      <w:pPr>
        <w:spacing w:after="0"/>
        <w:ind w:left="720"/>
      </w:pPr>
      <w:r>
        <w:t>TM40</w:t>
      </w:r>
      <w:r>
        <w:tab/>
        <w:t>Other Trademark Related Tasks</w:t>
      </w:r>
    </w:p>
    <w:p w14:paraId="39A47A49" w14:textId="75F426B2" w:rsidR="0039695A" w:rsidRDefault="0039695A" w:rsidP="000D1361">
      <w:pPr>
        <w:spacing w:after="0"/>
        <w:ind w:left="720"/>
      </w:pPr>
    </w:p>
    <w:p w14:paraId="327D753F" w14:textId="77777777" w:rsidR="0039695A" w:rsidRDefault="0039695A" w:rsidP="000D1361">
      <w:pPr>
        <w:spacing w:after="0"/>
        <w:ind w:left="720"/>
      </w:pPr>
    </w:p>
    <w:p w14:paraId="6499A7FD" w14:textId="77777777" w:rsidR="000D1361" w:rsidRDefault="000D1361" w:rsidP="000D1361">
      <w:pPr>
        <w:spacing w:after="0"/>
      </w:pPr>
    </w:p>
    <w:p w14:paraId="097A7EC0" w14:textId="77777777" w:rsidR="008E5562" w:rsidRPr="002D51E4" w:rsidRDefault="008E5562" w:rsidP="008E5562">
      <w:pPr>
        <w:spacing w:after="0"/>
        <w:rPr>
          <w:b/>
        </w:rPr>
      </w:pPr>
      <w:r>
        <w:rPr>
          <w:b/>
        </w:rPr>
        <w:t>Workers’ Compensation (WC)</w:t>
      </w:r>
    </w:p>
    <w:p w14:paraId="3B5D53E8" w14:textId="77777777" w:rsidR="008E5562" w:rsidRDefault="008E5562" w:rsidP="008E5562">
      <w:pPr>
        <w:spacing w:after="0"/>
      </w:pPr>
    </w:p>
    <w:p w14:paraId="0668C20D" w14:textId="77777777" w:rsidR="008E5562" w:rsidRDefault="008E5562" w:rsidP="008E5562">
      <w:pPr>
        <w:spacing w:after="0"/>
      </w:pPr>
      <w:r w:rsidRPr="000D1361">
        <w:rPr>
          <w:rFonts w:ascii="Calibri" w:eastAsia="Times New Roman" w:hAnsi="Calibri" w:cs="Calibri"/>
        </w:rPr>
        <w:t>The support of Workers’ Compensation matters.</w:t>
      </w:r>
    </w:p>
    <w:p w14:paraId="7BE92D3C" w14:textId="77777777" w:rsidR="008E5562" w:rsidRDefault="008E5562" w:rsidP="008E5562">
      <w:pPr>
        <w:spacing w:after="0"/>
      </w:pPr>
    </w:p>
    <w:p w14:paraId="3B793FB2" w14:textId="77777777" w:rsidR="008E5562" w:rsidRDefault="008E5562" w:rsidP="008E5562">
      <w:pPr>
        <w:spacing w:after="0"/>
      </w:pPr>
      <w:r>
        <w:t>Substantive Areas within this Classification:</w:t>
      </w:r>
    </w:p>
    <w:p w14:paraId="358D74E5" w14:textId="77777777" w:rsidR="008E5562" w:rsidRDefault="008E5562" w:rsidP="008E5562">
      <w:pPr>
        <w:spacing w:after="0"/>
      </w:pPr>
    </w:p>
    <w:p w14:paraId="0ECA37E2" w14:textId="77777777" w:rsidR="008E5562" w:rsidRDefault="008E5562" w:rsidP="008E5562">
      <w:pPr>
        <w:spacing w:after="0"/>
        <w:ind w:left="720"/>
      </w:pPr>
      <w:r>
        <w:t>WC10</w:t>
      </w:r>
      <w:r>
        <w:tab/>
        <w:t>Initial Assessment</w:t>
      </w:r>
      <w:r>
        <w:tab/>
      </w:r>
      <w:r>
        <w:tab/>
      </w:r>
    </w:p>
    <w:p w14:paraId="7ECE7F89" w14:textId="77777777" w:rsidR="008E5562" w:rsidRDefault="008E5562" w:rsidP="008E5562">
      <w:pPr>
        <w:spacing w:after="0"/>
        <w:ind w:left="720"/>
      </w:pPr>
      <w:r>
        <w:t>WC15</w:t>
      </w:r>
      <w:r>
        <w:tab/>
        <w:t>Pleadings/Preliminary Proceedings</w:t>
      </w:r>
      <w:r>
        <w:tab/>
      </w:r>
      <w:r>
        <w:tab/>
      </w:r>
    </w:p>
    <w:p w14:paraId="52FFB1F0" w14:textId="77777777" w:rsidR="008E5562" w:rsidRDefault="008E5562" w:rsidP="008E5562">
      <w:pPr>
        <w:spacing w:after="0"/>
        <w:ind w:left="720"/>
      </w:pPr>
      <w:r>
        <w:t>WC20</w:t>
      </w:r>
      <w:r>
        <w:tab/>
        <w:t>Discovery/Document Production</w:t>
      </w:r>
      <w:r>
        <w:tab/>
      </w:r>
      <w:r>
        <w:tab/>
      </w:r>
    </w:p>
    <w:p w14:paraId="365A381A" w14:textId="77777777" w:rsidR="008E5562" w:rsidRDefault="008E5562" w:rsidP="008E5562">
      <w:pPr>
        <w:spacing w:after="0"/>
        <w:ind w:left="720"/>
      </w:pPr>
      <w:r>
        <w:t>WC25</w:t>
      </w:r>
      <w:r>
        <w:tab/>
        <w:t>Hearings/Trial Practice</w:t>
      </w:r>
      <w:r>
        <w:tab/>
      </w:r>
      <w:r>
        <w:tab/>
      </w:r>
    </w:p>
    <w:p w14:paraId="3E271736" w14:textId="77777777" w:rsidR="008E5562" w:rsidRDefault="008E5562" w:rsidP="008E5562">
      <w:pPr>
        <w:spacing w:after="0"/>
        <w:ind w:left="720"/>
      </w:pPr>
      <w:r>
        <w:t>WC30</w:t>
      </w:r>
      <w:r>
        <w:tab/>
        <w:t>Appellate Practice</w:t>
      </w:r>
    </w:p>
    <w:p w14:paraId="5CE7504C" w14:textId="77777777" w:rsidR="008E5562" w:rsidRDefault="008E5562" w:rsidP="000D1361">
      <w:pPr>
        <w:spacing w:after="0"/>
        <w:rPr>
          <w:b/>
        </w:rPr>
      </w:pPr>
    </w:p>
    <w:p w14:paraId="2292667A" w14:textId="7CB23D51" w:rsidR="000D1361" w:rsidRPr="002D51E4" w:rsidRDefault="000D1361" w:rsidP="000D1361">
      <w:pPr>
        <w:spacing w:after="0"/>
        <w:rPr>
          <w:b/>
        </w:rPr>
      </w:pPr>
      <w:r>
        <w:rPr>
          <w:b/>
        </w:rPr>
        <w:t>Bankruptcy (BK)</w:t>
      </w:r>
    </w:p>
    <w:p w14:paraId="65721CAD" w14:textId="77777777" w:rsidR="000D1361" w:rsidRDefault="000D1361" w:rsidP="000D1361">
      <w:pPr>
        <w:spacing w:after="0"/>
      </w:pPr>
    </w:p>
    <w:p w14:paraId="061E167F" w14:textId="418EBC1D" w:rsidR="000D1361" w:rsidRDefault="000D1361" w:rsidP="000D1361">
      <w:pPr>
        <w:spacing w:after="0"/>
        <w:rPr>
          <w:rFonts w:ascii="Calibri" w:eastAsia="Times New Roman" w:hAnsi="Calibri" w:cs="Calibri"/>
        </w:rPr>
      </w:pPr>
      <w:r w:rsidRPr="000D1361">
        <w:rPr>
          <w:rFonts w:ascii="Calibri" w:eastAsia="Times New Roman" w:hAnsi="Calibri" w:cs="Calibri"/>
        </w:rPr>
        <w:t>The support of case administration, business operations, claims administration, plan disclosure and supporting the delivery of advice related to bankruptcy, restructuring, liquidation or related proceedings.</w:t>
      </w:r>
    </w:p>
    <w:p w14:paraId="1BD388A4" w14:textId="77777777" w:rsidR="000D1361" w:rsidRDefault="000D1361" w:rsidP="000D1361">
      <w:pPr>
        <w:spacing w:after="0"/>
      </w:pPr>
    </w:p>
    <w:p w14:paraId="4B51BFAE" w14:textId="77777777" w:rsidR="000D1361" w:rsidRDefault="000D1361" w:rsidP="000D1361">
      <w:pPr>
        <w:spacing w:after="0"/>
      </w:pPr>
      <w:r>
        <w:t>Substantive Areas within this Classification:</w:t>
      </w:r>
    </w:p>
    <w:p w14:paraId="1A33633C" w14:textId="77777777" w:rsidR="000D1361" w:rsidRDefault="000D1361" w:rsidP="000D1361">
      <w:pPr>
        <w:spacing w:after="0"/>
      </w:pPr>
    </w:p>
    <w:p w14:paraId="3BC9A815" w14:textId="77777777" w:rsidR="000D1361" w:rsidRDefault="000D1361" w:rsidP="000D1361">
      <w:pPr>
        <w:spacing w:after="0"/>
        <w:ind w:left="720"/>
      </w:pPr>
      <w:r>
        <w:t>BK10</w:t>
      </w:r>
      <w:r>
        <w:tab/>
        <w:t>Administration</w:t>
      </w:r>
      <w:r>
        <w:tab/>
      </w:r>
      <w:r>
        <w:tab/>
      </w:r>
    </w:p>
    <w:p w14:paraId="4241F6C2" w14:textId="77777777" w:rsidR="000D1361" w:rsidRDefault="000D1361" w:rsidP="000D1361">
      <w:pPr>
        <w:spacing w:after="0"/>
        <w:ind w:left="720"/>
      </w:pPr>
      <w:r>
        <w:t>BK15</w:t>
      </w:r>
      <w:r>
        <w:tab/>
        <w:t>Business Operations</w:t>
      </w:r>
      <w:r>
        <w:tab/>
      </w:r>
      <w:r>
        <w:tab/>
      </w:r>
    </w:p>
    <w:p w14:paraId="77A4551A" w14:textId="77777777" w:rsidR="000D1361" w:rsidRDefault="000D1361" w:rsidP="000D1361">
      <w:pPr>
        <w:spacing w:after="0"/>
        <w:ind w:left="720"/>
      </w:pPr>
      <w:r>
        <w:t>BK20</w:t>
      </w:r>
      <w:r>
        <w:tab/>
        <w:t>Claims Administration and Plan Disclosure</w:t>
      </w:r>
      <w:r>
        <w:tab/>
      </w:r>
      <w:r>
        <w:tab/>
      </w:r>
    </w:p>
    <w:p w14:paraId="2029AC4E" w14:textId="09046A9E" w:rsidR="000D1361" w:rsidRDefault="000D1361" w:rsidP="000D1361">
      <w:pPr>
        <w:spacing w:after="0"/>
        <w:ind w:left="720"/>
      </w:pPr>
      <w:r>
        <w:t>BK25</w:t>
      </w:r>
      <w:r>
        <w:tab/>
        <w:t>Related Advice</w:t>
      </w:r>
    </w:p>
    <w:p w14:paraId="097AEAF8" w14:textId="77777777" w:rsidR="000D1361" w:rsidRDefault="000D1361" w:rsidP="000D1361">
      <w:pPr>
        <w:spacing w:after="0"/>
        <w:rPr>
          <w:b/>
        </w:rPr>
      </w:pPr>
    </w:p>
    <w:p w14:paraId="7361910E" w14:textId="214C7ECB" w:rsidR="000D1361" w:rsidRPr="002D51E4" w:rsidRDefault="000D1361" w:rsidP="000D1361">
      <w:pPr>
        <w:spacing w:after="0"/>
        <w:rPr>
          <w:b/>
        </w:rPr>
      </w:pPr>
      <w:r>
        <w:rPr>
          <w:b/>
        </w:rPr>
        <w:t>Other (Counseling) (CN)</w:t>
      </w:r>
    </w:p>
    <w:p w14:paraId="0106ADCA" w14:textId="77777777" w:rsidR="000D1361" w:rsidRDefault="000D1361" w:rsidP="000D1361">
      <w:pPr>
        <w:spacing w:after="0"/>
      </w:pPr>
    </w:p>
    <w:p w14:paraId="7845E0D7" w14:textId="17BF5554" w:rsidR="000D1361" w:rsidRDefault="008E5562" w:rsidP="000D1361">
      <w:pPr>
        <w:spacing w:after="0"/>
      </w:pPr>
      <w:r w:rsidRPr="008E5562">
        <w:rPr>
          <w:rFonts w:ascii="Calibri" w:eastAsia="Times New Roman" w:hAnsi="Calibri" w:cs="Calibri"/>
        </w:rPr>
        <w:t>Activities that support the delivery of general advice and counseling related to legal matters not specified within another category in this Substantive Area (e.g., tax, labor, corporate, regulatory).</w:t>
      </w:r>
    </w:p>
    <w:p w14:paraId="2BCF9CBB" w14:textId="77777777" w:rsidR="000D1361" w:rsidRDefault="000D1361" w:rsidP="000D1361">
      <w:pPr>
        <w:spacing w:after="0"/>
      </w:pPr>
    </w:p>
    <w:p w14:paraId="56BC8447" w14:textId="77777777" w:rsidR="000D1361" w:rsidRDefault="000D1361" w:rsidP="000D1361">
      <w:pPr>
        <w:spacing w:after="0"/>
      </w:pPr>
      <w:r>
        <w:t>Substantive Areas within this Classification:</w:t>
      </w:r>
    </w:p>
    <w:p w14:paraId="192B8989" w14:textId="77777777" w:rsidR="000D1361" w:rsidRDefault="000D1361" w:rsidP="000D1361">
      <w:pPr>
        <w:spacing w:after="0"/>
      </w:pPr>
    </w:p>
    <w:p w14:paraId="0F28FEF2" w14:textId="77777777" w:rsidR="008E5562" w:rsidRDefault="008E5562" w:rsidP="008E5562">
      <w:pPr>
        <w:spacing w:after="0"/>
        <w:ind w:left="720"/>
      </w:pPr>
      <w:r>
        <w:t>CN10</w:t>
      </w:r>
      <w:r>
        <w:tab/>
        <w:t>Fact Gathering</w:t>
      </w:r>
      <w:r>
        <w:tab/>
      </w:r>
      <w:r>
        <w:tab/>
      </w:r>
    </w:p>
    <w:p w14:paraId="32C930A7" w14:textId="77777777" w:rsidR="008E5562" w:rsidRDefault="008E5562" w:rsidP="008E5562">
      <w:pPr>
        <w:spacing w:after="0"/>
        <w:ind w:left="720"/>
      </w:pPr>
      <w:r>
        <w:t>CN15</w:t>
      </w:r>
      <w:r>
        <w:tab/>
        <w:t>Research Law</w:t>
      </w:r>
      <w:r>
        <w:tab/>
      </w:r>
      <w:r>
        <w:tab/>
      </w:r>
    </w:p>
    <w:p w14:paraId="6B5C4CFC" w14:textId="77777777" w:rsidR="008E5562" w:rsidRDefault="008E5562" w:rsidP="008E5562">
      <w:pPr>
        <w:spacing w:after="0"/>
        <w:ind w:left="720"/>
      </w:pPr>
      <w:r>
        <w:t>CN20</w:t>
      </w:r>
      <w:r>
        <w:tab/>
        <w:t>Analysis and Advice</w:t>
      </w:r>
      <w:r>
        <w:tab/>
      </w:r>
      <w:r>
        <w:tab/>
      </w:r>
    </w:p>
    <w:p w14:paraId="1E19F82B" w14:textId="23153661" w:rsidR="000D1361" w:rsidRDefault="008E5562" w:rsidP="008E5562">
      <w:pPr>
        <w:spacing w:after="0"/>
        <w:ind w:left="720"/>
      </w:pPr>
      <w:r>
        <w:t>CN25</w:t>
      </w:r>
      <w:r>
        <w:tab/>
        <w:t>Third Party Communications</w:t>
      </w:r>
    </w:p>
    <w:p w14:paraId="7FD3FCF4" w14:textId="77777777" w:rsidR="008E5562" w:rsidRDefault="008E5562" w:rsidP="008E5562">
      <w:pPr>
        <w:spacing w:after="0"/>
        <w:rPr>
          <w:b/>
        </w:rPr>
      </w:pPr>
    </w:p>
    <w:p w14:paraId="1247B546" w14:textId="73E641ED" w:rsidR="008E5562" w:rsidRPr="002D51E4" w:rsidRDefault="008E5562" w:rsidP="008E5562">
      <w:pPr>
        <w:spacing w:after="0"/>
        <w:rPr>
          <w:b/>
        </w:rPr>
      </w:pPr>
      <w:r>
        <w:rPr>
          <w:b/>
        </w:rPr>
        <w:t>Lobbying (Government Relations) (LB)</w:t>
      </w:r>
    </w:p>
    <w:p w14:paraId="6401FB1F" w14:textId="77777777" w:rsidR="008E5562" w:rsidRDefault="008E5562" w:rsidP="008E5562">
      <w:pPr>
        <w:spacing w:after="0"/>
      </w:pPr>
    </w:p>
    <w:p w14:paraId="4AE0A495" w14:textId="4E87C6A4" w:rsidR="008E5562" w:rsidRDefault="008E5562" w:rsidP="008E5562">
      <w:pPr>
        <w:spacing w:after="0"/>
        <w:rPr>
          <w:rFonts w:ascii="Calibri" w:eastAsia="Times New Roman" w:hAnsi="Calibri" w:cs="Calibri"/>
        </w:rPr>
      </w:pPr>
      <w:r w:rsidRPr="008E5562">
        <w:rPr>
          <w:rFonts w:ascii="Calibri" w:eastAsia="Times New Roman" w:hAnsi="Calibri" w:cs="Calibri"/>
        </w:rPr>
        <w:t>Lobbying activities, legislative research, attending hearings and other public meetings, educating officials and officers, and public relations activities.</w:t>
      </w:r>
    </w:p>
    <w:p w14:paraId="49DC52C3" w14:textId="77777777" w:rsidR="008E5562" w:rsidRDefault="008E5562" w:rsidP="008E5562">
      <w:pPr>
        <w:spacing w:after="0"/>
      </w:pPr>
    </w:p>
    <w:p w14:paraId="2716BE13" w14:textId="77777777" w:rsidR="008E5562" w:rsidRDefault="008E5562" w:rsidP="008E5562">
      <w:pPr>
        <w:spacing w:after="0"/>
      </w:pPr>
      <w:r>
        <w:t>Substantive Areas within this Classification:</w:t>
      </w:r>
    </w:p>
    <w:p w14:paraId="2E869F7E" w14:textId="77777777" w:rsidR="008E5562" w:rsidRDefault="008E5562" w:rsidP="008E5562">
      <w:pPr>
        <w:spacing w:after="0"/>
      </w:pPr>
    </w:p>
    <w:p w14:paraId="60F04BD6" w14:textId="77777777" w:rsidR="008E5562" w:rsidRDefault="008E5562" w:rsidP="008E5562">
      <w:pPr>
        <w:spacing w:after="0"/>
        <w:ind w:left="720"/>
      </w:pPr>
      <w:r>
        <w:t>LB10</w:t>
      </w:r>
      <w:r>
        <w:tab/>
        <w:t>Lobbying Administration</w:t>
      </w:r>
      <w:r>
        <w:tab/>
      </w:r>
      <w:r>
        <w:tab/>
      </w:r>
    </w:p>
    <w:p w14:paraId="7D9A3392" w14:textId="77777777" w:rsidR="008E5562" w:rsidRDefault="008E5562" w:rsidP="008E5562">
      <w:pPr>
        <w:spacing w:after="0"/>
        <w:ind w:left="720"/>
      </w:pPr>
      <w:r>
        <w:t>LB15</w:t>
      </w:r>
      <w:r>
        <w:tab/>
        <w:t>Lobbying Strategy</w:t>
      </w:r>
      <w:r>
        <w:tab/>
      </w:r>
      <w:r>
        <w:tab/>
      </w:r>
    </w:p>
    <w:p w14:paraId="1FB95849" w14:textId="77777777" w:rsidR="008E5562" w:rsidRDefault="008E5562" w:rsidP="008E5562">
      <w:pPr>
        <w:spacing w:after="0"/>
        <w:ind w:left="720"/>
      </w:pPr>
      <w:r>
        <w:t>LB20</w:t>
      </w:r>
      <w:r>
        <w:tab/>
        <w:t>Lobbying</w:t>
      </w:r>
      <w:r>
        <w:tab/>
      </w:r>
      <w:r>
        <w:tab/>
      </w:r>
    </w:p>
    <w:p w14:paraId="2796A0C5" w14:textId="225F3B37" w:rsidR="000D1361" w:rsidRDefault="008E5562" w:rsidP="008E5562">
      <w:pPr>
        <w:spacing w:after="0"/>
        <w:ind w:left="720"/>
      </w:pPr>
      <w:r>
        <w:t>LB25</w:t>
      </w:r>
      <w:r>
        <w:tab/>
        <w:t>Lobbying Research</w:t>
      </w:r>
    </w:p>
    <w:p w14:paraId="3A6F7C2E" w14:textId="77777777" w:rsidR="008E5562" w:rsidRDefault="008E5562" w:rsidP="008E5562">
      <w:pPr>
        <w:spacing w:after="0"/>
      </w:pPr>
    </w:p>
    <w:p w14:paraId="1D9311BD" w14:textId="77777777" w:rsidR="009E4964" w:rsidRDefault="009E4964" w:rsidP="009E4964">
      <w:pPr>
        <w:pStyle w:val="BodyText"/>
        <w:ind w:left="0"/>
        <w:rPr>
          <w:rFonts w:asciiTheme="minorHAnsi" w:hAnsiTheme="minorHAnsi"/>
          <w:b/>
          <w:sz w:val="22"/>
          <w:szCs w:val="22"/>
        </w:rPr>
      </w:pPr>
      <w:r>
        <w:rPr>
          <w:rFonts w:asciiTheme="minorHAnsi" w:hAnsiTheme="minorHAnsi"/>
          <w:b/>
          <w:sz w:val="22"/>
          <w:szCs w:val="22"/>
        </w:rPr>
        <w:t>Questions?</w:t>
      </w:r>
    </w:p>
    <w:p w14:paraId="2E1C3BFB" w14:textId="77777777" w:rsidR="009E4964" w:rsidRDefault="009E4964" w:rsidP="009E4964">
      <w:pPr>
        <w:pStyle w:val="BodyText"/>
        <w:ind w:left="0"/>
        <w:rPr>
          <w:rFonts w:asciiTheme="minorHAnsi" w:hAnsiTheme="minorHAnsi"/>
          <w:sz w:val="22"/>
          <w:szCs w:val="22"/>
        </w:rPr>
      </w:pPr>
    </w:p>
    <w:p w14:paraId="0C35C821" w14:textId="77777777" w:rsidR="009E4964" w:rsidRDefault="009E4964" w:rsidP="009E4964">
      <w:pPr>
        <w:pStyle w:val="BodyText"/>
        <w:ind w:left="0"/>
        <w:rPr>
          <w:rFonts w:asciiTheme="minorHAnsi" w:hAnsiTheme="minorHAnsi"/>
          <w:sz w:val="22"/>
          <w:szCs w:val="22"/>
        </w:rPr>
      </w:pPr>
      <w:r>
        <w:rPr>
          <w:rFonts w:asciiTheme="minorHAnsi" w:hAnsiTheme="minorHAnsi"/>
          <w:sz w:val="22"/>
          <w:szCs w:val="22"/>
        </w:rPr>
        <w:t xml:space="preserve">For further information about the ALA UPBMS or the public comment process, please contact: </w:t>
      </w:r>
      <w:hyperlink r:id="rId8" w:history="1">
        <w:r>
          <w:rPr>
            <w:rStyle w:val="Hyperlink"/>
            <w:rFonts w:asciiTheme="minorHAnsi" w:hAnsiTheme="minorHAnsi"/>
            <w:i/>
            <w:sz w:val="22"/>
            <w:szCs w:val="22"/>
          </w:rPr>
          <w:t>alaupbms@alanet.org</w:t>
        </w:r>
      </w:hyperlink>
      <w:r>
        <w:rPr>
          <w:rFonts w:asciiTheme="minorHAnsi" w:hAnsiTheme="minorHAnsi"/>
          <w:i/>
          <w:sz w:val="22"/>
          <w:szCs w:val="22"/>
        </w:rPr>
        <w:t>.</w:t>
      </w:r>
    </w:p>
    <w:p w14:paraId="064B5975" w14:textId="77777777" w:rsidR="009E4964" w:rsidRDefault="009E4964" w:rsidP="009578ED">
      <w:pPr>
        <w:spacing w:after="0"/>
      </w:pPr>
    </w:p>
    <w:sectPr w:rsidR="009E4964" w:rsidSect="001E2C1B">
      <w:headerReference w:type="default" r:id="rId9"/>
      <w:footerReference w:type="default" r:id="rId10"/>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10876" w14:textId="77777777" w:rsidR="00037712" w:rsidRDefault="00037712" w:rsidP="00BB07BB">
      <w:pPr>
        <w:spacing w:after="0" w:line="240" w:lineRule="auto"/>
      </w:pPr>
      <w:r>
        <w:separator/>
      </w:r>
    </w:p>
  </w:endnote>
  <w:endnote w:type="continuationSeparator" w:id="0">
    <w:p w14:paraId="2B5AE7C8" w14:textId="77777777" w:rsidR="00037712" w:rsidRDefault="00037712" w:rsidP="00BB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ED0B" w14:textId="12273C2F" w:rsidR="00EF78E6" w:rsidRDefault="000921A7" w:rsidP="00EF78E6">
    <w:pPr>
      <w:pStyle w:val="Footer"/>
      <w:rPr>
        <w:b/>
        <w:bCs/>
        <w:noProof/>
        <w:sz w:val="14"/>
      </w:rPr>
    </w:pPr>
    <w:r>
      <w:rPr>
        <w:sz w:val="14"/>
      </w:rPr>
      <w:fldChar w:fldCharType="begin"/>
    </w:r>
    <w:r w:rsidR="00EF78E6">
      <w:rPr>
        <w:sz w:val="14"/>
      </w:rPr>
      <w:instrText xml:space="preserve"> DATE \@ "M/d/yyyy h:mm:ss am/pm" </w:instrText>
    </w:r>
    <w:r>
      <w:rPr>
        <w:sz w:val="14"/>
      </w:rPr>
      <w:fldChar w:fldCharType="separate"/>
    </w:r>
    <w:r w:rsidR="006236E2">
      <w:rPr>
        <w:noProof/>
        <w:sz w:val="14"/>
      </w:rPr>
      <w:t>3/17/2019 4:30:24 PM</w:t>
    </w:r>
    <w:r>
      <w:rPr>
        <w:sz w:val="14"/>
      </w:rPr>
      <w:fldChar w:fldCharType="end"/>
    </w:r>
    <w:r w:rsidR="00EF78E6">
      <w:rPr>
        <w:sz w:val="14"/>
      </w:rPr>
      <w:ptab w:relativeTo="margin" w:alignment="center" w:leader="none"/>
    </w:r>
    <w:r w:rsidR="00EF78E6" w:rsidRPr="00F56BB1">
      <w:rPr>
        <w:sz w:val="14"/>
      </w:rPr>
      <w:t xml:space="preserve">Page | </w:t>
    </w:r>
    <w:r w:rsidRPr="00F56BB1">
      <w:rPr>
        <w:sz w:val="14"/>
      </w:rPr>
      <w:fldChar w:fldCharType="begin"/>
    </w:r>
    <w:r w:rsidR="00EF78E6" w:rsidRPr="00F56BB1">
      <w:rPr>
        <w:sz w:val="14"/>
      </w:rPr>
      <w:instrText xml:space="preserve"> PAGE   \* MERGEFORMAT </w:instrText>
    </w:r>
    <w:r w:rsidRPr="00F56BB1">
      <w:rPr>
        <w:sz w:val="14"/>
      </w:rPr>
      <w:fldChar w:fldCharType="separate"/>
    </w:r>
    <w:r w:rsidR="0000113A">
      <w:rPr>
        <w:noProof/>
        <w:sz w:val="14"/>
      </w:rPr>
      <w:t>4</w:t>
    </w:r>
    <w:r w:rsidRPr="00F56BB1">
      <w:rPr>
        <w:noProof/>
        <w:sz w:val="14"/>
      </w:rPr>
      <w:fldChar w:fldCharType="end"/>
    </w:r>
  </w:p>
  <w:p w14:paraId="1A5EB9F5" w14:textId="77777777" w:rsidR="00EF78E6" w:rsidRDefault="00EF78E6" w:rsidP="00EF78E6">
    <w:pPr>
      <w:pStyle w:val="Footer"/>
      <w:rPr>
        <w:b/>
        <w:bCs/>
        <w:noProof/>
        <w:sz w:val="14"/>
      </w:rPr>
    </w:pPr>
  </w:p>
  <w:p w14:paraId="3F10A254" w14:textId="551EE049" w:rsidR="00EF78E6" w:rsidRDefault="00EF78E6" w:rsidP="00EF78E6">
    <w:pPr>
      <w:pStyle w:val="Footer"/>
      <w:rPr>
        <w:sz w:val="14"/>
      </w:rPr>
    </w:pPr>
    <w:r>
      <w:rPr>
        <w:sz w:val="14"/>
      </w:rPr>
      <w:t xml:space="preserve"> </w:t>
    </w:r>
    <w:r>
      <w:rPr>
        <w:sz w:val="14"/>
      </w:rPr>
      <w:ptab w:relativeTo="margin" w:alignment="right" w:leader="none"/>
    </w:r>
    <w:r>
      <w:rPr>
        <w:sz w:val="14"/>
      </w:rPr>
      <w:t>©</w:t>
    </w:r>
    <w:r>
      <w:rPr>
        <w:spacing w:val="-1"/>
        <w:sz w:val="14"/>
      </w:rPr>
      <w:t xml:space="preserve"> </w:t>
    </w:r>
    <w:r>
      <w:rPr>
        <w:sz w:val="14"/>
      </w:rPr>
      <w:t>201</w:t>
    </w:r>
    <w:r w:rsidR="001016A2">
      <w:rPr>
        <w:sz w:val="14"/>
      </w:rPr>
      <w:t>9</w:t>
    </w:r>
    <w:r>
      <w:rPr>
        <w:sz w:val="14"/>
      </w:rPr>
      <w:t xml:space="preserve"> Association of Legal Administrators.  All rights</w:t>
    </w:r>
    <w:r>
      <w:rPr>
        <w:spacing w:val="1"/>
        <w:sz w:val="14"/>
      </w:rPr>
      <w:t xml:space="preserve"> </w:t>
    </w:r>
    <w:r>
      <w:rPr>
        <w:spacing w:val="-1"/>
        <w:sz w:val="14"/>
      </w:rPr>
      <w:t>reserved</w:t>
    </w:r>
    <w:r>
      <w:rPr>
        <w:sz w:val="14"/>
      </w:rPr>
      <w:t xml:space="preserve"> </w:t>
    </w:r>
    <w:r>
      <w:rPr>
        <w:spacing w:val="-1"/>
        <w:sz w:val="14"/>
      </w:rPr>
      <w:t xml:space="preserve">worldwide.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96DE5" w14:textId="77777777" w:rsidR="00037712" w:rsidRDefault="00037712" w:rsidP="00BB07BB">
      <w:pPr>
        <w:spacing w:after="0" w:line="240" w:lineRule="auto"/>
      </w:pPr>
      <w:r>
        <w:separator/>
      </w:r>
    </w:p>
  </w:footnote>
  <w:footnote w:type="continuationSeparator" w:id="0">
    <w:p w14:paraId="603ABD3B" w14:textId="77777777" w:rsidR="00037712" w:rsidRDefault="00037712" w:rsidP="00BB0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DA6C6" w14:textId="77777777" w:rsidR="00EF78E6" w:rsidRDefault="00EF78E6" w:rsidP="00EF78E6">
    <w:pPr>
      <w:pStyle w:val="Header"/>
      <w:tabs>
        <w:tab w:val="clear" w:pos="4680"/>
        <w:tab w:val="clear" w:pos="9360"/>
      </w:tabs>
      <w:jc w:val="right"/>
      <w:rPr>
        <w:color w:val="8496B0" w:themeColor="text2" w:themeTint="99"/>
        <w:sz w:val="24"/>
        <w:szCs w:val="24"/>
      </w:rPr>
    </w:pPr>
    <w:r>
      <w:rPr>
        <w:noProof/>
        <w:color w:val="8496B0" w:themeColor="text2" w:themeTint="99"/>
        <w:sz w:val="24"/>
        <w:szCs w:val="24"/>
      </w:rPr>
      <w:drawing>
        <wp:inline distT="0" distB="0" distL="0" distR="0" wp14:anchorId="41CD58C8" wp14:editId="7DD3D701">
          <wp:extent cx="657225" cy="657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LA-UPBMS-logo-Highres-576-x-576.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p>
  <w:p w14:paraId="1B83FD0F" w14:textId="77777777" w:rsidR="00EF78E6" w:rsidRDefault="00EF78E6" w:rsidP="00EF78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476C"/>
    <w:rsid w:val="0000113A"/>
    <w:rsid w:val="00033C9D"/>
    <w:rsid w:val="00037712"/>
    <w:rsid w:val="0006740C"/>
    <w:rsid w:val="000921A7"/>
    <w:rsid w:val="000B0AD5"/>
    <w:rsid w:val="000C2675"/>
    <w:rsid w:val="000D1361"/>
    <w:rsid w:val="000D158D"/>
    <w:rsid w:val="001016A2"/>
    <w:rsid w:val="00101C04"/>
    <w:rsid w:val="001109D2"/>
    <w:rsid w:val="001410CF"/>
    <w:rsid w:val="00184732"/>
    <w:rsid w:val="001B2D50"/>
    <w:rsid w:val="001E2C1B"/>
    <w:rsid w:val="00210D3C"/>
    <w:rsid w:val="00245C1C"/>
    <w:rsid w:val="00265293"/>
    <w:rsid w:val="00287F6F"/>
    <w:rsid w:val="002C071C"/>
    <w:rsid w:val="002D51E4"/>
    <w:rsid w:val="002D6913"/>
    <w:rsid w:val="002F7762"/>
    <w:rsid w:val="003069E4"/>
    <w:rsid w:val="00312F87"/>
    <w:rsid w:val="003250F4"/>
    <w:rsid w:val="003377AD"/>
    <w:rsid w:val="00343EC1"/>
    <w:rsid w:val="00376434"/>
    <w:rsid w:val="00382F84"/>
    <w:rsid w:val="00384022"/>
    <w:rsid w:val="0039695A"/>
    <w:rsid w:val="004121DD"/>
    <w:rsid w:val="0041440D"/>
    <w:rsid w:val="004146D7"/>
    <w:rsid w:val="00420233"/>
    <w:rsid w:val="00451CB0"/>
    <w:rsid w:val="004831D6"/>
    <w:rsid w:val="004D73ED"/>
    <w:rsid w:val="004E1EE6"/>
    <w:rsid w:val="004E4728"/>
    <w:rsid w:val="004E7D8A"/>
    <w:rsid w:val="00500586"/>
    <w:rsid w:val="005008FC"/>
    <w:rsid w:val="0050103E"/>
    <w:rsid w:val="005043BE"/>
    <w:rsid w:val="00511BD1"/>
    <w:rsid w:val="005709FC"/>
    <w:rsid w:val="00584BE4"/>
    <w:rsid w:val="005A0711"/>
    <w:rsid w:val="005A54C4"/>
    <w:rsid w:val="005A6839"/>
    <w:rsid w:val="005A6CE6"/>
    <w:rsid w:val="005A7884"/>
    <w:rsid w:val="005A7C4B"/>
    <w:rsid w:val="005B292E"/>
    <w:rsid w:val="005C290A"/>
    <w:rsid w:val="005C7F26"/>
    <w:rsid w:val="005E5F0D"/>
    <w:rsid w:val="005F08DB"/>
    <w:rsid w:val="00620BC7"/>
    <w:rsid w:val="0062227D"/>
    <w:rsid w:val="006236E2"/>
    <w:rsid w:val="0062451A"/>
    <w:rsid w:val="0064797D"/>
    <w:rsid w:val="00652BFC"/>
    <w:rsid w:val="006549C0"/>
    <w:rsid w:val="0066030B"/>
    <w:rsid w:val="006637C3"/>
    <w:rsid w:val="00682E6D"/>
    <w:rsid w:val="006921BE"/>
    <w:rsid w:val="006B0DD6"/>
    <w:rsid w:val="006D1D2A"/>
    <w:rsid w:val="006D77EF"/>
    <w:rsid w:val="006D7F9F"/>
    <w:rsid w:val="006E4A67"/>
    <w:rsid w:val="006F3C0B"/>
    <w:rsid w:val="007326E0"/>
    <w:rsid w:val="00736A54"/>
    <w:rsid w:val="00737C8D"/>
    <w:rsid w:val="00764C8E"/>
    <w:rsid w:val="0079238E"/>
    <w:rsid w:val="007C3367"/>
    <w:rsid w:val="007F10AE"/>
    <w:rsid w:val="0082482F"/>
    <w:rsid w:val="0083311E"/>
    <w:rsid w:val="00851A27"/>
    <w:rsid w:val="0086689C"/>
    <w:rsid w:val="00867F90"/>
    <w:rsid w:val="00871D61"/>
    <w:rsid w:val="008A2734"/>
    <w:rsid w:val="008A5A41"/>
    <w:rsid w:val="008D03E6"/>
    <w:rsid w:val="008D4FAF"/>
    <w:rsid w:val="008E0200"/>
    <w:rsid w:val="008E02D4"/>
    <w:rsid w:val="008E5562"/>
    <w:rsid w:val="008E58B3"/>
    <w:rsid w:val="008F0AB6"/>
    <w:rsid w:val="008F55CD"/>
    <w:rsid w:val="00912CC4"/>
    <w:rsid w:val="009518D3"/>
    <w:rsid w:val="009560CF"/>
    <w:rsid w:val="009578ED"/>
    <w:rsid w:val="00977932"/>
    <w:rsid w:val="0098501D"/>
    <w:rsid w:val="009E4964"/>
    <w:rsid w:val="009F2DA5"/>
    <w:rsid w:val="00A379C3"/>
    <w:rsid w:val="00A411D0"/>
    <w:rsid w:val="00A558C6"/>
    <w:rsid w:val="00A579C1"/>
    <w:rsid w:val="00A7352D"/>
    <w:rsid w:val="00A84455"/>
    <w:rsid w:val="00A86587"/>
    <w:rsid w:val="00AA41DF"/>
    <w:rsid w:val="00AB3FF5"/>
    <w:rsid w:val="00AC1700"/>
    <w:rsid w:val="00AC1EA7"/>
    <w:rsid w:val="00AC5DF4"/>
    <w:rsid w:val="00AE60AA"/>
    <w:rsid w:val="00AF3C29"/>
    <w:rsid w:val="00AF4355"/>
    <w:rsid w:val="00AF69BC"/>
    <w:rsid w:val="00B17211"/>
    <w:rsid w:val="00B50D7A"/>
    <w:rsid w:val="00B85FC3"/>
    <w:rsid w:val="00BB07BB"/>
    <w:rsid w:val="00BC0D7D"/>
    <w:rsid w:val="00BC476C"/>
    <w:rsid w:val="00BD27EB"/>
    <w:rsid w:val="00BD42F8"/>
    <w:rsid w:val="00BF3337"/>
    <w:rsid w:val="00BF6572"/>
    <w:rsid w:val="00C2213A"/>
    <w:rsid w:val="00C26E47"/>
    <w:rsid w:val="00C47B40"/>
    <w:rsid w:val="00C50EC9"/>
    <w:rsid w:val="00C51DEB"/>
    <w:rsid w:val="00C66C39"/>
    <w:rsid w:val="00C8742E"/>
    <w:rsid w:val="00CB7EED"/>
    <w:rsid w:val="00CC38A4"/>
    <w:rsid w:val="00CD2AEF"/>
    <w:rsid w:val="00CE1F30"/>
    <w:rsid w:val="00CF6BD7"/>
    <w:rsid w:val="00D342F2"/>
    <w:rsid w:val="00D5023A"/>
    <w:rsid w:val="00D519DD"/>
    <w:rsid w:val="00D91ED2"/>
    <w:rsid w:val="00DC1501"/>
    <w:rsid w:val="00DE047B"/>
    <w:rsid w:val="00DF5336"/>
    <w:rsid w:val="00E06E8B"/>
    <w:rsid w:val="00E34B21"/>
    <w:rsid w:val="00E42E93"/>
    <w:rsid w:val="00E63F5F"/>
    <w:rsid w:val="00E75095"/>
    <w:rsid w:val="00E755DE"/>
    <w:rsid w:val="00E8539E"/>
    <w:rsid w:val="00ED3DAE"/>
    <w:rsid w:val="00ED493A"/>
    <w:rsid w:val="00EF0D38"/>
    <w:rsid w:val="00EF78E6"/>
    <w:rsid w:val="00F057D1"/>
    <w:rsid w:val="00F27939"/>
    <w:rsid w:val="00F35191"/>
    <w:rsid w:val="00F42DD8"/>
    <w:rsid w:val="00F5288E"/>
    <w:rsid w:val="00F546C0"/>
    <w:rsid w:val="00F80B0B"/>
    <w:rsid w:val="00F90EE9"/>
    <w:rsid w:val="00FB47B3"/>
    <w:rsid w:val="00FE0864"/>
    <w:rsid w:val="00FF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A1E5"/>
  <w15:docId w15:val="{51480AB5-A33E-4629-AD90-D7816665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ED2"/>
  </w:style>
  <w:style w:type="paragraph" w:styleId="Heading1">
    <w:name w:val="heading 1"/>
    <w:basedOn w:val="Normal"/>
    <w:next w:val="Normal"/>
    <w:link w:val="Heading1Char"/>
    <w:uiPriority w:val="9"/>
    <w:qFormat/>
    <w:rsid w:val="002D51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51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2F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1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51E4"/>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BB07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7BB"/>
    <w:rPr>
      <w:sz w:val="20"/>
      <w:szCs w:val="20"/>
    </w:rPr>
  </w:style>
  <w:style w:type="character" w:styleId="FootnoteReference">
    <w:name w:val="footnote reference"/>
    <w:basedOn w:val="DefaultParagraphFont"/>
    <w:uiPriority w:val="99"/>
    <w:semiHidden/>
    <w:unhideWhenUsed/>
    <w:rsid w:val="00BB07BB"/>
    <w:rPr>
      <w:vertAlign w:val="superscript"/>
    </w:rPr>
  </w:style>
  <w:style w:type="paragraph" w:styleId="Header">
    <w:name w:val="header"/>
    <w:basedOn w:val="Normal"/>
    <w:link w:val="HeaderChar"/>
    <w:uiPriority w:val="99"/>
    <w:unhideWhenUsed/>
    <w:rsid w:val="00AF6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9BC"/>
  </w:style>
  <w:style w:type="paragraph" w:styleId="Footer">
    <w:name w:val="footer"/>
    <w:basedOn w:val="Normal"/>
    <w:link w:val="FooterChar"/>
    <w:uiPriority w:val="99"/>
    <w:unhideWhenUsed/>
    <w:rsid w:val="00AF6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9BC"/>
  </w:style>
  <w:style w:type="character" w:customStyle="1" w:styleId="Heading3Char">
    <w:name w:val="Heading 3 Char"/>
    <w:basedOn w:val="DefaultParagraphFont"/>
    <w:link w:val="Heading3"/>
    <w:uiPriority w:val="9"/>
    <w:rsid w:val="00312F8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E4964"/>
    <w:rPr>
      <w:color w:val="0563C1" w:themeColor="hyperlink"/>
      <w:u w:val="single"/>
    </w:rPr>
  </w:style>
  <w:style w:type="paragraph" w:styleId="BodyText">
    <w:name w:val="Body Text"/>
    <w:basedOn w:val="Normal"/>
    <w:link w:val="BodyTextChar"/>
    <w:uiPriority w:val="1"/>
    <w:semiHidden/>
    <w:unhideWhenUsed/>
    <w:qFormat/>
    <w:rsid w:val="009E4964"/>
    <w:pPr>
      <w:widowControl w:val="0"/>
      <w:spacing w:after="0" w:line="240" w:lineRule="auto"/>
      <w:ind w:left="133"/>
    </w:pPr>
    <w:rPr>
      <w:rFonts w:ascii="Arial" w:eastAsia="Arial" w:hAnsi="Arial"/>
      <w:sz w:val="18"/>
      <w:szCs w:val="18"/>
    </w:rPr>
  </w:style>
  <w:style w:type="character" w:customStyle="1" w:styleId="BodyTextChar">
    <w:name w:val="Body Text Char"/>
    <w:basedOn w:val="DefaultParagraphFont"/>
    <w:link w:val="BodyText"/>
    <w:uiPriority w:val="1"/>
    <w:semiHidden/>
    <w:rsid w:val="009E4964"/>
    <w:rPr>
      <w:rFonts w:ascii="Arial" w:eastAsia="Arial" w:hAnsi="Arial"/>
      <w:sz w:val="18"/>
      <w:szCs w:val="18"/>
    </w:rPr>
  </w:style>
  <w:style w:type="paragraph" w:styleId="BalloonText">
    <w:name w:val="Balloon Text"/>
    <w:basedOn w:val="Normal"/>
    <w:link w:val="BalloonTextChar"/>
    <w:uiPriority w:val="99"/>
    <w:semiHidden/>
    <w:unhideWhenUsed/>
    <w:rsid w:val="00F5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7632">
      <w:bodyDiv w:val="1"/>
      <w:marLeft w:val="0"/>
      <w:marRight w:val="0"/>
      <w:marTop w:val="0"/>
      <w:marBottom w:val="0"/>
      <w:divBdr>
        <w:top w:val="none" w:sz="0" w:space="0" w:color="auto"/>
        <w:left w:val="none" w:sz="0" w:space="0" w:color="auto"/>
        <w:bottom w:val="none" w:sz="0" w:space="0" w:color="auto"/>
        <w:right w:val="none" w:sz="0" w:space="0" w:color="auto"/>
      </w:divBdr>
    </w:div>
    <w:div w:id="22950179">
      <w:bodyDiv w:val="1"/>
      <w:marLeft w:val="0"/>
      <w:marRight w:val="0"/>
      <w:marTop w:val="0"/>
      <w:marBottom w:val="0"/>
      <w:divBdr>
        <w:top w:val="none" w:sz="0" w:space="0" w:color="auto"/>
        <w:left w:val="none" w:sz="0" w:space="0" w:color="auto"/>
        <w:bottom w:val="none" w:sz="0" w:space="0" w:color="auto"/>
        <w:right w:val="none" w:sz="0" w:space="0" w:color="auto"/>
      </w:divBdr>
    </w:div>
    <w:div w:id="44499669">
      <w:bodyDiv w:val="1"/>
      <w:marLeft w:val="0"/>
      <w:marRight w:val="0"/>
      <w:marTop w:val="0"/>
      <w:marBottom w:val="0"/>
      <w:divBdr>
        <w:top w:val="none" w:sz="0" w:space="0" w:color="auto"/>
        <w:left w:val="none" w:sz="0" w:space="0" w:color="auto"/>
        <w:bottom w:val="none" w:sz="0" w:space="0" w:color="auto"/>
        <w:right w:val="none" w:sz="0" w:space="0" w:color="auto"/>
      </w:divBdr>
    </w:div>
    <w:div w:id="90787618">
      <w:bodyDiv w:val="1"/>
      <w:marLeft w:val="0"/>
      <w:marRight w:val="0"/>
      <w:marTop w:val="0"/>
      <w:marBottom w:val="0"/>
      <w:divBdr>
        <w:top w:val="none" w:sz="0" w:space="0" w:color="auto"/>
        <w:left w:val="none" w:sz="0" w:space="0" w:color="auto"/>
        <w:bottom w:val="none" w:sz="0" w:space="0" w:color="auto"/>
        <w:right w:val="none" w:sz="0" w:space="0" w:color="auto"/>
      </w:divBdr>
    </w:div>
    <w:div w:id="129444244">
      <w:bodyDiv w:val="1"/>
      <w:marLeft w:val="0"/>
      <w:marRight w:val="0"/>
      <w:marTop w:val="0"/>
      <w:marBottom w:val="0"/>
      <w:divBdr>
        <w:top w:val="none" w:sz="0" w:space="0" w:color="auto"/>
        <w:left w:val="none" w:sz="0" w:space="0" w:color="auto"/>
        <w:bottom w:val="none" w:sz="0" w:space="0" w:color="auto"/>
        <w:right w:val="none" w:sz="0" w:space="0" w:color="auto"/>
      </w:divBdr>
    </w:div>
    <w:div w:id="481696566">
      <w:bodyDiv w:val="1"/>
      <w:marLeft w:val="0"/>
      <w:marRight w:val="0"/>
      <w:marTop w:val="0"/>
      <w:marBottom w:val="0"/>
      <w:divBdr>
        <w:top w:val="none" w:sz="0" w:space="0" w:color="auto"/>
        <w:left w:val="none" w:sz="0" w:space="0" w:color="auto"/>
        <w:bottom w:val="none" w:sz="0" w:space="0" w:color="auto"/>
        <w:right w:val="none" w:sz="0" w:space="0" w:color="auto"/>
      </w:divBdr>
    </w:div>
    <w:div w:id="577445940">
      <w:bodyDiv w:val="1"/>
      <w:marLeft w:val="0"/>
      <w:marRight w:val="0"/>
      <w:marTop w:val="0"/>
      <w:marBottom w:val="0"/>
      <w:divBdr>
        <w:top w:val="none" w:sz="0" w:space="0" w:color="auto"/>
        <w:left w:val="none" w:sz="0" w:space="0" w:color="auto"/>
        <w:bottom w:val="none" w:sz="0" w:space="0" w:color="auto"/>
        <w:right w:val="none" w:sz="0" w:space="0" w:color="auto"/>
      </w:divBdr>
    </w:div>
    <w:div w:id="71381991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74027961">
      <w:bodyDiv w:val="1"/>
      <w:marLeft w:val="0"/>
      <w:marRight w:val="0"/>
      <w:marTop w:val="0"/>
      <w:marBottom w:val="0"/>
      <w:divBdr>
        <w:top w:val="none" w:sz="0" w:space="0" w:color="auto"/>
        <w:left w:val="none" w:sz="0" w:space="0" w:color="auto"/>
        <w:bottom w:val="none" w:sz="0" w:space="0" w:color="auto"/>
        <w:right w:val="none" w:sz="0" w:space="0" w:color="auto"/>
      </w:divBdr>
    </w:div>
    <w:div w:id="1171220192">
      <w:bodyDiv w:val="1"/>
      <w:marLeft w:val="0"/>
      <w:marRight w:val="0"/>
      <w:marTop w:val="0"/>
      <w:marBottom w:val="0"/>
      <w:divBdr>
        <w:top w:val="none" w:sz="0" w:space="0" w:color="auto"/>
        <w:left w:val="none" w:sz="0" w:space="0" w:color="auto"/>
        <w:bottom w:val="none" w:sz="0" w:space="0" w:color="auto"/>
        <w:right w:val="none" w:sz="0" w:space="0" w:color="auto"/>
      </w:divBdr>
    </w:div>
    <w:div w:id="1396666774">
      <w:bodyDiv w:val="1"/>
      <w:marLeft w:val="0"/>
      <w:marRight w:val="0"/>
      <w:marTop w:val="0"/>
      <w:marBottom w:val="0"/>
      <w:divBdr>
        <w:top w:val="none" w:sz="0" w:space="0" w:color="auto"/>
        <w:left w:val="none" w:sz="0" w:space="0" w:color="auto"/>
        <w:bottom w:val="none" w:sz="0" w:space="0" w:color="auto"/>
        <w:right w:val="none" w:sz="0" w:space="0" w:color="auto"/>
      </w:divBdr>
    </w:div>
    <w:div w:id="1539902173">
      <w:bodyDiv w:val="1"/>
      <w:marLeft w:val="0"/>
      <w:marRight w:val="0"/>
      <w:marTop w:val="0"/>
      <w:marBottom w:val="0"/>
      <w:divBdr>
        <w:top w:val="none" w:sz="0" w:space="0" w:color="auto"/>
        <w:left w:val="none" w:sz="0" w:space="0" w:color="auto"/>
        <w:bottom w:val="none" w:sz="0" w:space="0" w:color="auto"/>
        <w:right w:val="none" w:sz="0" w:space="0" w:color="auto"/>
      </w:divBdr>
    </w:div>
    <w:div w:id="1938823463">
      <w:bodyDiv w:val="1"/>
      <w:marLeft w:val="0"/>
      <w:marRight w:val="0"/>
      <w:marTop w:val="0"/>
      <w:marBottom w:val="0"/>
      <w:divBdr>
        <w:top w:val="none" w:sz="0" w:space="0" w:color="auto"/>
        <w:left w:val="none" w:sz="0" w:space="0" w:color="auto"/>
        <w:bottom w:val="none" w:sz="0" w:space="0" w:color="auto"/>
        <w:right w:val="none" w:sz="0" w:space="0" w:color="auto"/>
      </w:divBdr>
    </w:div>
    <w:div w:id="19591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upbms@alane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0CFB3-CC55-49A9-BB9F-BE8934A9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Mech</dc:creator>
  <cp:lastModifiedBy>Bill Mech</cp:lastModifiedBy>
  <cp:revision>13</cp:revision>
  <cp:lastPrinted>2019-03-17T21:30:00Z</cp:lastPrinted>
  <dcterms:created xsi:type="dcterms:W3CDTF">2019-02-22T03:22:00Z</dcterms:created>
  <dcterms:modified xsi:type="dcterms:W3CDTF">2019-03-17T21:30:00Z</dcterms:modified>
</cp:coreProperties>
</file>