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FE2B2" w14:textId="16DC0E10" w:rsidR="0082482F" w:rsidRDefault="0096697C" w:rsidP="00312F87">
      <w:pPr>
        <w:pStyle w:val="Heading2"/>
      </w:pPr>
      <w:r>
        <w:rPr>
          <w:noProof/>
        </w:rPr>
        <w:drawing>
          <wp:anchor distT="0" distB="0" distL="114300" distR="114300" simplePos="0" relativeHeight="251658240" behindDoc="0" locked="0" layoutInCell="1" allowOverlap="1" wp14:anchorId="403D670A" wp14:editId="13144AA4">
            <wp:simplePos x="0" y="0"/>
            <wp:positionH relativeFrom="margin">
              <wp:align>right</wp:align>
            </wp:positionH>
            <wp:positionV relativeFrom="margin">
              <wp:posOffset>25400</wp:posOffset>
            </wp:positionV>
            <wp:extent cx="1819275" cy="1014730"/>
            <wp:effectExtent l="19050" t="19050" r="28575" b="1397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Code Structure.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819275" cy="1014730"/>
                    </a:xfrm>
                    <a:prstGeom prst="rect">
                      <a:avLst/>
                    </a:prstGeom>
                    <a:ln>
                      <a:solidFill>
                        <a:schemeClr val="tx1"/>
                      </a:solidFill>
                    </a:ln>
                  </pic:spPr>
                </pic:pic>
              </a:graphicData>
            </a:graphic>
          </wp:anchor>
        </w:drawing>
      </w:r>
      <w:r w:rsidR="003069E4">
        <w:t xml:space="preserve">Support Branch </w:t>
      </w:r>
      <w:r w:rsidR="002D51E4">
        <w:t>Classifications</w:t>
      </w:r>
    </w:p>
    <w:p w14:paraId="1E787CD7" w14:textId="77777777" w:rsidR="002D51E4" w:rsidRDefault="002D51E4" w:rsidP="009578ED">
      <w:pPr>
        <w:spacing w:after="0"/>
      </w:pPr>
    </w:p>
    <w:p w14:paraId="714ED605" w14:textId="06416C15" w:rsidR="00A579C1" w:rsidRDefault="00A579C1" w:rsidP="009578ED">
      <w:pPr>
        <w:spacing w:after="0"/>
      </w:pPr>
      <w:r>
        <w:t>The Support Branch is used to describe p</w:t>
      </w:r>
      <w:r w:rsidRPr="00A579C1">
        <w:t>rocesses associated with professional assistance provided to lawyers directly related to the delivery of legal services, advice and counsel.</w:t>
      </w:r>
    </w:p>
    <w:p w14:paraId="6A1B1799" w14:textId="77777777" w:rsidR="00A579C1" w:rsidRDefault="00A579C1" w:rsidP="009578ED">
      <w:pPr>
        <w:spacing w:after="0"/>
      </w:pPr>
    </w:p>
    <w:p w14:paraId="0F5A0419" w14:textId="74ED386A" w:rsidR="002D51E4" w:rsidRDefault="002D51E4" w:rsidP="009578ED">
      <w:pPr>
        <w:spacing w:after="0"/>
      </w:pPr>
      <w:r>
        <w:t>Classifications represent t</w:t>
      </w:r>
      <w:r w:rsidRPr="002D51E4">
        <w:t xml:space="preserve">he highest organizational level within </w:t>
      </w:r>
      <w:r w:rsidR="003069E4">
        <w:t>each Branch</w:t>
      </w:r>
      <w:r w:rsidR="00A579C1">
        <w:t xml:space="preserve"> of</w:t>
      </w:r>
      <w:r w:rsidR="003069E4">
        <w:t xml:space="preserve"> </w:t>
      </w:r>
      <w:r w:rsidRPr="002D51E4">
        <w:t>the ALA U</w:t>
      </w:r>
      <w:r w:rsidR="00F42DD8">
        <w:t>P</w:t>
      </w:r>
      <w:r w:rsidRPr="002D51E4">
        <w:t>BMS Codes</w:t>
      </w:r>
      <w:r w:rsidR="00D519DD">
        <w:t>.  They are</w:t>
      </w:r>
      <w:r w:rsidRPr="002D51E4">
        <w:t xml:space="preserve"> used to organize the </w:t>
      </w:r>
      <w:r w:rsidR="00D71020">
        <w:t>S</w:t>
      </w:r>
      <w:r w:rsidRPr="002D51E4">
        <w:t xml:space="preserve">ubstantive </w:t>
      </w:r>
      <w:r w:rsidR="00D71020">
        <w:t>A</w:t>
      </w:r>
      <w:r w:rsidRPr="002D51E4">
        <w:t>reas into logical groupings.  While they may generally follow departmental structures</w:t>
      </w:r>
      <w:r w:rsidR="00D519DD">
        <w:t xml:space="preserve"> in some organizations</w:t>
      </w:r>
      <w:r w:rsidRPr="002D51E4">
        <w:t xml:space="preserve">, they are used more accurately to describe the nature of the </w:t>
      </w:r>
      <w:r w:rsidR="00FC069E">
        <w:t>activities</w:t>
      </w:r>
      <w:r w:rsidRPr="002D51E4">
        <w:t xml:space="preserve"> detailed within each </w:t>
      </w:r>
      <w:r w:rsidR="00FC069E">
        <w:t>S</w:t>
      </w:r>
      <w:r w:rsidRPr="002D51E4">
        <w:t xml:space="preserve">ubstantive </w:t>
      </w:r>
      <w:r w:rsidR="00FC069E">
        <w:t>A</w:t>
      </w:r>
      <w:r w:rsidRPr="002D51E4">
        <w:t xml:space="preserve">rea and </w:t>
      </w:r>
      <w:r w:rsidR="00FC069E">
        <w:t>Process</w:t>
      </w:r>
      <w:r w:rsidRPr="002D51E4">
        <w:t>.</w:t>
      </w:r>
    </w:p>
    <w:p w14:paraId="0B5BEB35" w14:textId="77777777" w:rsidR="002D51E4" w:rsidRDefault="002D51E4" w:rsidP="009578ED">
      <w:pPr>
        <w:spacing w:after="0"/>
      </w:pPr>
    </w:p>
    <w:p w14:paraId="778489B5" w14:textId="47928CD8" w:rsidR="00A579C1" w:rsidRPr="00D5023A" w:rsidRDefault="00A579C1" w:rsidP="00A579C1">
      <w:pPr>
        <w:spacing w:after="0"/>
        <w:rPr>
          <w:b/>
        </w:rPr>
      </w:pPr>
      <w:r>
        <w:rPr>
          <w:b/>
        </w:rPr>
        <w:t>Administrative Support (AS)</w:t>
      </w:r>
    </w:p>
    <w:p w14:paraId="32A3EB07" w14:textId="77777777" w:rsidR="00A579C1" w:rsidRDefault="00A579C1" w:rsidP="00A579C1">
      <w:pPr>
        <w:spacing w:after="0"/>
      </w:pPr>
    </w:p>
    <w:p w14:paraId="189EB362" w14:textId="1CD01FCD" w:rsidR="00A579C1" w:rsidRDefault="00A579C1" w:rsidP="00A579C1">
      <w:pPr>
        <w:spacing w:after="0"/>
        <w:rPr>
          <w:rFonts w:ascii="Calibri" w:eastAsia="Times New Roman" w:hAnsi="Calibri" w:cs="Calibri"/>
        </w:rPr>
      </w:pPr>
      <w:r w:rsidRPr="00A579C1">
        <w:rPr>
          <w:rFonts w:ascii="Calibri" w:eastAsia="Times New Roman" w:hAnsi="Calibri" w:cs="Calibri"/>
        </w:rPr>
        <w:t>Processes associated with general office</w:t>
      </w:r>
      <w:bookmarkStart w:id="0" w:name="_GoBack"/>
      <w:bookmarkEnd w:id="0"/>
      <w:r w:rsidRPr="00A579C1">
        <w:rPr>
          <w:rFonts w:ascii="Calibri" w:eastAsia="Times New Roman" w:hAnsi="Calibri" w:cs="Calibri"/>
        </w:rPr>
        <w:t xml:space="preserve"> operations. Includes document services (production, reproduction and management), court services (docket), phone and fax services, meeting coordination, travel, facilities management, and mail/messenger services.</w:t>
      </w:r>
    </w:p>
    <w:p w14:paraId="7760C0B4" w14:textId="77777777" w:rsidR="00A579C1" w:rsidRDefault="00A579C1" w:rsidP="00A579C1">
      <w:pPr>
        <w:spacing w:after="0"/>
      </w:pPr>
    </w:p>
    <w:p w14:paraId="1B547CD0" w14:textId="215855D8" w:rsidR="00A579C1" w:rsidRDefault="00A579C1" w:rsidP="00A579C1">
      <w:pPr>
        <w:spacing w:after="0"/>
      </w:pPr>
      <w:r>
        <w:t xml:space="preserve">Substantive </w:t>
      </w:r>
      <w:r w:rsidR="005C290A">
        <w:t>A</w:t>
      </w:r>
      <w:r>
        <w:t>reas within this Classification:</w:t>
      </w:r>
    </w:p>
    <w:p w14:paraId="1344F29C" w14:textId="77777777" w:rsidR="00A579C1" w:rsidRDefault="00A579C1" w:rsidP="00A579C1">
      <w:pPr>
        <w:spacing w:after="0"/>
      </w:pPr>
    </w:p>
    <w:p w14:paraId="6776045B" w14:textId="77777777" w:rsidR="00A579C1" w:rsidRDefault="00A579C1" w:rsidP="00A579C1">
      <w:pPr>
        <w:spacing w:after="0"/>
        <w:ind w:left="720"/>
      </w:pPr>
      <w:r>
        <w:t>AS10</w:t>
      </w:r>
      <w:r>
        <w:tab/>
        <w:t>Document Services</w:t>
      </w:r>
      <w:r>
        <w:tab/>
      </w:r>
    </w:p>
    <w:p w14:paraId="3591FD7D" w14:textId="77777777" w:rsidR="00A579C1" w:rsidRDefault="00A579C1" w:rsidP="00A579C1">
      <w:pPr>
        <w:spacing w:after="0"/>
        <w:ind w:left="720"/>
      </w:pPr>
      <w:r>
        <w:t>AS15</w:t>
      </w:r>
      <w:r>
        <w:tab/>
        <w:t>Docket Services</w:t>
      </w:r>
      <w:r>
        <w:tab/>
      </w:r>
    </w:p>
    <w:p w14:paraId="3CB66380" w14:textId="77777777" w:rsidR="00A579C1" w:rsidRDefault="00A579C1" w:rsidP="00A579C1">
      <w:pPr>
        <w:spacing w:after="0"/>
        <w:ind w:left="720"/>
      </w:pPr>
      <w:r>
        <w:t>AS20</w:t>
      </w:r>
      <w:r>
        <w:tab/>
        <w:t>Communication Services</w:t>
      </w:r>
      <w:r>
        <w:tab/>
      </w:r>
    </w:p>
    <w:p w14:paraId="3C13FD17" w14:textId="77777777" w:rsidR="00A579C1" w:rsidRDefault="00A579C1" w:rsidP="00A579C1">
      <w:pPr>
        <w:spacing w:after="0"/>
        <w:ind w:left="720"/>
      </w:pPr>
      <w:r>
        <w:t>AS25</w:t>
      </w:r>
      <w:r>
        <w:tab/>
        <w:t>Meetings Coordination</w:t>
      </w:r>
      <w:r>
        <w:tab/>
      </w:r>
    </w:p>
    <w:p w14:paraId="65E14228" w14:textId="77777777" w:rsidR="00A579C1" w:rsidRDefault="00A579C1" w:rsidP="00A579C1">
      <w:pPr>
        <w:spacing w:after="0"/>
        <w:ind w:left="720"/>
      </w:pPr>
      <w:r>
        <w:t>AS30</w:t>
      </w:r>
      <w:r>
        <w:tab/>
        <w:t>Travel Management</w:t>
      </w:r>
      <w:r>
        <w:tab/>
      </w:r>
    </w:p>
    <w:p w14:paraId="0DB3DA77" w14:textId="77777777" w:rsidR="00A579C1" w:rsidRDefault="00A579C1" w:rsidP="00A579C1">
      <w:pPr>
        <w:spacing w:after="0"/>
        <w:ind w:left="720"/>
      </w:pPr>
      <w:r>
        <w:t>AS35</w:t>
      </w:r>
      <w:r>
        <w:tab/>
        <w:t>Facilities Management</w:t>
      </w:r>
      <w:r>
        <w:tab/>
      </w:r>
    </w:p>
    <w:p w14:paraId="6F4EC475" w14:textId="096BD435" w:rsidR="00A579C1" w:rsidRDefault="00A579C1" w:rsidP="00A579C1">
      <w:pPr>
        <w:spacing w:after="0"/>
        <w:ind w:left="720"/>
        <w:rPr>
          <w:sz w:val="20"/>
        </w:rPr>
      </w:pPr>
      <w:r>
        <w:t>AS40</w:t>
      </w:r>
      <w:r>
        <w:tab/>
        <w:t>Mail and Messenger Services</w:t>
      </w:r>
    </w:p>
    <w:p w14:paraId="3BD3AF4B" w14:textId="77777777" w:rsidR="00A579C1" w:rsidRDefault="00A579C1" w:rsidP="00A579C1">
      <w:pPr>
        <w:spacing w:after="0"/>
      </w:pPr>
    </w:p>
    <w:p w14:paraId="08E641C0" w14:textId="77777777" w:rsidR="009578ED" w:rsidRDefault="009578ED" w:rsidP="009578ED">
      <w:pPr>
        <w:spacing w:after="0"/>
        <w:rPr>
          <w:b/>
        </w:rPr>
      </w:pPr>
      <w:r w:rsidRPr="002D51E4">
        <w:rPr>
          <w:b/>
        </w:rPr>
        <w:t>Finance</w:t>
      </w:r>
      <w:r w:rsidR="007326E0">
        <w:rPr>
          <w:b/>
        </w:rPr>
        <w:t xml:space="preserve"> (FN)</w:t>
      </w:r>
    </w:p>
    <w:p w14:paraId="047522F8" w14:textId="77777777" w:rsidR="008D03E6" w:rsidRPr="008D03E6" w:rsidRDefault="008D03E6" w:rsidP="009578ED">
      <w:pPr>
        <w:spacing w:after="0"/>
      </w:pPr>
    </w:p>
    <w:p w14:paraId="393423D4" w14:textId="3C9A14A3" w:rsidR="008D03E6" w:rsidRDefault="00BD27EB" w:rsidP="009578ED">
      <w:pPr>
        <w:spacing w:after="0"/>
        <w:rPr>
          <w:rFonts w:ascii="Calibri" w:eastAsia="Times New Roman" w:hAnsi="Calibri" w:cs="Calibri"/>
        </w:rPr>
      </w:pPr>
      <w:r w:rsidRPr="00BD27EB">
        <w:rPr>
          <w:rFonts w:ascii="Calibri" w:eastAsia="Times New Roman" w:hAnsi="Calibri" w:cs="Calibri"/>
        </w:rPr>
        <w:t>Processes associated with general accounting and financial operations, time entry, billing and collections, accounts payable, expense reports, analyzing money flows, and meeting all reporting, tax, and business operation requirements.</w:t>
      </w:r>
    </w:p>
    <w:p w14:paraId="7E167446" w14:textId="77777777" w:rsidR="00BD27EB" w:rsidRPr="008D03E6" w:rsidRDefault="00BD27EB" w:rsidP="009578ED">
      <w:pPr>
        <w:spacing w:after="0"/>
      </w:pPr>
    </w:p>
    <w:p w14:paraId="204F3D35" w14:textId="45866A11" w:rsidR="008D03E6" w:rsidRDefault="008D03E6" w:rsidP="008D03E6">
      <w:pPr>
        <w:spacing w:after="0"/>
      </w:pPr>
      <w:r>
        <w:t>Substantive</w:t>
      </w:r>
      <w:r w:rsidR="005C290A">
        <w:t xml:space="preserve"> A</w:t>
      </w:r>
      <w:r>
        <w:t xml:space="preserve">reas within this </w:t>
      </w:r>
      <w:r w:rsidR="00BD27EB">
        <w:t>C</w:t>
      </w:r>
      <w:r>
        <w:t>lassification:</w:t>
      </w:r>
    </w:p>
    <w:p w14:paraId="1AEBCEC8" w14:textId="77777777" w:rsidR="008D03E6" w:rsidRPr="002D51E4" w:rsidRDefault="008D03E6" w:rsidP="009578ED">
      <w:pPr>
        <w:spacing w:after="0"/>
        <w:rPr>
          <w:b/>
        </w:rPr>
      </w:pPr>
    </w:p>
    <w:p w14:paraId="1ED33301" w14:textId="77777777" w:rsidR="00BD27EB" w:rsidRDefault="00BD27EB" w:rsidP="00BD27EB">
      <w:pPr>
        <w:spacing w:after="0"/>
        <w:ind w:left="720"/>
      </w:pPr>
      <w:r>
        <w:t>FN10</w:t>
      </w:r>
      <w:r>
        <w:tab/>
        <w:t>Credit and Collections</w:t>
      </w:r>
    </w:p>
    <w:p w14:paraId="27587093" w14:textId="77777777" w:rsidR="00BD27EB" w:rsidRDefault="00BD27EB" w:rsidP="00BD27EB">
      <w:pPr>
        <w:spacing w:after="0"/>
        <w:ind w:left="720"/>
      </w:pPr>
      <w:r>
        <w:t>FN15</w:t>
      </w:r>
      <w:r>
        <w:tab/>
        <w:t>Financial Operations</w:t>
      </w:r>
    </w:p>
    <w:p w14:paraId="06E38E9F" w14:textId="77777777" w:rsidR="00BD27EB" w:rsidRDefault="00BD27EB" w:rsidP="00BD27EB">
      <w:pPr>
        <w:spacing w:after="0"/>
        <w:ind w:left="720"/>
      </w:pPr>
      <w:r>
        <w:t>FN20</w:t>
      </w:r>
      <w:r>
        <w:tab/>
        <w:t>Financial Planning</w:t>
      </w:r>
    </w:p>
    <w:p w14:paraId="74494887" w14:textId="2629F5A3" w:rsidR="001E2C1B" w:rsidRDefault="00BD27EB" w:rsidP="00BD27EB">
      <w:pPr>
        <w:spacing w:after="0"/>
        <w:ind w:left="720"/>
      </w:pPr>
      <w:r>
        <w:t>FN25</w:t>
      </w:r>
      <w:r>
        <w:tab/>
        <w:t>Tax and Compliance</w:t>
      </w:r>
    </w:p>
    <w:p w14:paraId="32C14728" w14:textId="6B10BDFC" w:rsidR="005C290A" w:rsidRDefault="005C290A" w:rsidP="00BD27EB">
      <w:pPr>
        <w:spacing w:after="0"/>
        <w:ind w:left="720"/>
      </w:pPr>
    </w:p>
    <w:p w14:paraId="7C555465" w14:textId="70939D9A" w:rsidR="001016A2" w:rsidRDefault="001016A2" w:rsidP="00BD27EB">
      <w:pPr>
        <w:spacing w:after="0"/>
        <w:ind w:left="720"/>
      </w:pPr>
    </w:p>
    <w:p w14:paraId="6A1200F9" w14:textId="4FBC3D2D" w:rsidR="001016A2" w:rsidRDefault="001016A2" w:rsidP="00BD27EB">
      <w:pPr>
        <w:spacing w:after="0"/>
        <w:ind w:left="720"/>
      </w:pPr>
    </w:p>
    <w:p w14:paraId="0383D6B2" w14:textId="77777777" w:rsidR="001016A2" w:rsidRDefault="001016A2" w:rsidP="00BD27EB">
      <w:pPr>
        <w:spacing w:after="0"/>
        <w:ind w:left="720"/>
      </w:pPr>
    </w:p>
    <w:p w14:paraId="054B91AC" w14:textId="77777777" w:rsidR="009578ED" w:rsidRDefault="009578ED" w:rsidP="00AF4355">
      <w:pPr>
        <w:rPr>
          <w:b/>
        </w:rPr>
      </w:pPr>
      <w:r w:rsidRPr="002D51E4">
        <w:rPr>
          <w:b/>
        </w:rPr>
        <w:t xml:space="preserve">Human </w:t>
      </w:r>
      <w:r w:rsidR="00584BE4" w:rsidRPr="002D51E4">
        <w:rPr>
          <w:b/>
        </w:rPr>
        <w:t>R</w:t>
      </w:r>
      <w:r w:rsidRPr="002D51E4">
        <w:rPr>
          <w:b/>
        </w:rPr>
        <w:t>esources</w:t>
      </w:r>
      <w:r w:rsidR="007326E0">
        <w:rPr>
          <w:b/>
        </w:rPr>
        <w:t xml:space="preserve"> (HR)</w:t>
      </w:r>
    </w:p>
    <w:p w14:paraId="52048033" w14:textId="65D9C40F" w:rsidR="00F546C0" w:rsidRDefault="005C290A" w:rsidP="00F546C0">
      <w:pPr>
        <w:spacing w:after="0"/>
        <w:rPr>
          <w:rFonts w:ascii="Calibri" w:eastAsia="Times New Roman" w:hAnsi="Calibri" w:cs="Calibri"/>
        </w:rPr>
      </w:pPr>
      <w:r w:rsidRPr="005C290A">
        <w:rPr>
          <w:rFonts w:ascii="Calibri" w:eastAsia="Times New Roman" w:hAnsi="Calibri" w:cs="Calibri"/>
        </w:rPr>
        <w:t>Processes related to searching for and obtaining candidates, employee training and development, various forms of direct and indirect employee compensation, administration of the employer-employee relationship, employee communication, and managing and retaining valuable employees.</w:t>
      </w:r>
    </w:p>
    <w:p w14:paraId="6E436CAE" w14:textId="77777777" w:rsidR="005C290A" w:rsidRDefault="005C290A" w:rsidP="00F546C0">
      <w:pPr>
        <w:spacing w:after="0"/>
      </w:pPr>
    </w:p>
    <w:p w14:paraId="11B6FFA5" w14:textId="52DF8D3C" w:rsidR="00F546C0" w:rsidRDefault="00F546C0" w:rsidP="00F546C0">
      <w:pPr>
        <w:spacing w:after="0"/>
      </w:pPr>
      <w:r>
        <w:t xml:space="preserve">Substantive </w:t>
      </w:r>
      <w:r w:rsidR="005C290A">
        <w:t>A</w:t>
      </w:r>
      <w:r>
        <w:t>reas within this</w:t>
      </w:r>
      <w:r w:rsidR="005C290A">
        <w:t xml:space="preserve"> C</w:t>
      </w:r>
      <w:r>
        <w:t>lassification:</w:t>
      </w:r>
    </w:p>
    <w:p w14:paraId="347A0B9F" w14:textId="77777777" w:rsidR="00F546C0" w:rsidRPr="002D51E4" w:rsidRDefault="00F546C0" w:rsidP="009578ED">
      <w:pPr>
        <w:spacing w:after="0"/>
        <w:rPr>
          <w:b/>
        </w:rPr>
      </w:pPr>
    </w:p>
    <w:p w14:paraId="7B74F3B7" w14:textId="77777777" w:rsidR="005C290A" w:rsidRDefault="005C290A" w:rsidP="005C290A">
      <w:pPr>
        <w:spacing w:after="0"/>
        <w:ind w:left="720"/>
      </w:pPr>
      <w:r>
        <w:t>HR10</w:t>
      </w:r>
      <w:r>
        <w:tab/>
        <w:t>Recruitment and Selection</w:t>
      </w:r>
    </w:p>
    <w:p w14:paraId="50B6B422" w14:textId="77777777" w:rsidR="005C290A" w:rsidRDefault="005C290A" w:rsidP="005C290A">
      <w:pPr>
        <w:spacing w:after="0"/>
        <w:ind w:left="720"/>
      </w:pPr>
      <w:r>
        <w:t>HR15</w:t>
      </w:r>
      <w:r>
        <w:tab/>
        <w:t>Compensation and Benefits</w:t>
      </w:r>
    </w:p>
    <w:p w14:paraId="0C29518C" w14:textId="77777777" w:rsidR="005C290A" w:rsidRDefault="005C290A" w:rsidP="005C290A">
      <w:pPr>
        <w:spacing w:after="0"/>
        <w:ind w:left="720"/>
      </w:pPr>
      <w:r>
        <w:t>HR20</w:t>
      </w:r>
      <w:r>
        <w:tab/>
        <w:t>Employment Relationship Management</w:t>
      </w:r>
    </w:p>
    <w:p w14:paraId="282A2F7E" w14:textId="77777777" w:rsidR="005C290A" w:rsidRDefault="005C290A" w:rsidP="005C290A">
      <w:pPr>
        <w:spacing w:after="0"/>
        <w:ind w:left="720"/>
      </w:pPr>
      <w:r>
        <w:t>HR25</w:t>
      </w:r>
      <w:r>
        <w:tab/>
        <w:t>Training and Development</w:t>
      </w:r>
    </w:p>
    <w:p w14:paraId="7F7F68AD" w14:textId="6839C5FC" w:rsidR="009578ED" w:rsidRDefault="005C290A" w:rsidP="005C290A">
      <w:pPr>
        <w:spacing w:after="0"/>
        <w:ind w:left="720"/>
      </w:pPr>
      <w:r>
        <w:t>HR30</w:t>
      </w:r>
      <w:r>
        <w:tab/>
        <w:t>HR Consulting</w:t>
      </w:r>
    </w:p>
    <w:p w14:paraId="0B6D3AFA" w14:textId="77777777" w:rsidR="005C290A" w:rsidRDefault="005C290A" w:rsidP="005C290A">
      <w:pPr>
        <w:spacing w:after="0"/>
      </w:pPr>
    </w:p>
    <w:p w14:paraId="55DFB9FF" w14:textId="77777777" w:rsidR="009578ED" w:rsidRPr="00C26E47" w:rsidRDefault="009578ED" w:rsidP="009578ED">
      <w:pPr>
        <w:spacing w:after="0"/>
        <w:rPr>
          <w:b/>
        </w:rPr>
      </w:pPr>
      <w:r w:rsidRPr="00C26E47">
        <w:rPr>
          <w:b/>
        </w:rPr>
        <w:t>Business Development</w:t>
      </w:r>
      <w:r w:rsidR="007326E0">
        <w:rPr>
          <w:b/>
        </w:rPr>
        <w:t xml:space="preserve"> (B</w:t>
      </w:r>
      <w:r w:rsidR="0083311E">
        <w:rPr>
          <w:b/>
        </w:rPr>
        <w:t>D</w:t>
      </w:r>
      <w:r w:rsidR="007326E0">
        <w:rPr>
          <w:b/>
        </w:rPr>
        <w:t>)</w:t>
      </w:r>
    </w:p>
    <w:p w14:paraId="02EF3CF0" w14:textId="77777777" w:rsidR="00376434" w:rsidRDefault="00376434" w:rsidP="00376434">
      <w:pPr>
        <w:spacing w:after="0"/>
      </w:pPr>
    </w:p>
    <w:p w14:paraId="66A80421" w14:textId="4EE232EF" w:rsidR="00C26E47" w:rsidRDefault="008A2734" w:rsidP="00376434">
      <w:pPr>
        <w:spacing w:after="0"/>
        <w:rPr>
          <w:rFonts w:ascii="Calibri" w:eastAsia="Times New Roman" w:hAnsi="Calibri" w:cs="Calibri"/>
        </w:rPr>
      </w:pPr>
      <w:r w:rsidRPr="008A2734">
        <w:rPr>
          <w:rFonts w:ascii="Calibri" w:eastAsia="Times New Roman" w:hAnsi="Calibri" w:cs="Calibri"/>
        </w:rPr>
        <w:t>Processes aimed at developing and implementing growth opportunities, and communicating the value of a product, service or brand.</w:t>
      </w:r>
    </w:p>
    <w:p w14:paraId="56C8D410" w14:textId="77777777" w:rsidR="008A2734" w:rsidRDefault="008A2734" w:rsidP="00376434">
      <w:pPr>
        <w:spacing w:after="0"/>
      </w:pPr>
    </w:p>
    <w:p w14:paraId="56B346DF" w14:textId="6D167867" w:rsidR="00376434" w:rsidRDefault="00376434" w:rsidP="00376434">
      <w:pPr>
        <w:spacing w:after="0"/>
      </w:pPr>
      <w:r>
        <w:t xml:space="preserve">Substantive </w:t>
      </w:r>
      <w:r w:rsidR="008A2734">
        <w:t>A</w:t>
      </w:r>
      <w:r>
        <w:t xml:space="preserve">reas within this </w:t>
      </w:r>
      <w:r w:rsidR="008A2734">
        <w:t>C</w:t>
      </w:r>
      <w:r>
        <w:t>lassification:</w:t>
      </w:r>
    </w:p>
    <w:p w14:paraId="36B2AD88" w14:textId="77777777" w:rsidR="00C26E47" w:rsidRDefault="00C26E47" w:rsidP="00376434">
      <w:pPr>
        <w:spacing w:after="0"/>
      </w:pPr>
    </w:p>
    <w:p w14:paraId="527356A8" w14:textId="77777777" w:rsidR="008A2734" w:rsidRDefault="008A2734" w:rsidP="008A2734">
      <w:pPr>
        <w:spacing w:after="0"/>
        <w:ind w:left="720"/>
      </w:pPr>
      <w:r>
        <w:t>BD10</w:t>
      </w:r>
      <w:r>
        <w:tab/>
        <w:t>Product (Service) Development</w:t>
      </w:r>
    </w:p>
    <w:p w14:paraId="2DD04313" w14:textId="77777777" w:rsidR="008A2734" w:rsidRDefault="008A2734" w:rsidP="008A2734">
      <w:pPr>
        <w:spacing w:after="0"/>
        <w:ind w:left="720"/>
      </w:pPr>
      <w:r>
        <w:t>BD15</w:t>
      </w:r>
      <w:r>
        <w:tab/>
        <w:t>Sales</w:t>
      </w:r>
    </w:p>
    <w:p w14:paraId="6E7FE63F" w14:textId="77FA5596" w:rsidR="009578ED" w:rsidRDefault="008A2734" w:rsidP="008A2734">
      <w:pPr>
        <w:spacing w:after="0"/>
        <w:ind w:left="720"/>
      </w:pPr>
      <w:r>
        <w:t>BD20</w:t>
      </w:r>
      <w:r>
        <w:tab/>
        <w:t>Marketing</w:t>
      </w:r>
    </w:p>
    <w:p w14:paraId="59B24717" w14:textId="77777777" w:rsidR="008A2734" w:rsidRDefault="008A2734" w:rsidP="008A2734">
      <w:pPr>
        <w:spacing w:after="0"/>
      </w:pPr>
    </w:p>
    <w:p w14:paraId="3BB0F4F9" w14:textId="77777777" w:rsidR="009578ED" w:rsidRPr="00D5023A" w:rsidRDefault="00584BE4" w:rsidP="009578ED">
      <w:pPr>
        <w:spacing w:after="0"/>
        <w:rPr>
          <w:b/>
        </w:rPr>
      </w:pPr>
      <w:r w:rsidRPr="00D5023A">
        <w:rPr>
          <w:b/>
        </w:rPr>
        <w:t>Information T</w:t>
      </w:r>
      <w:r w:rsidR="009578ED" w:rsidRPr="00D5023A">
        <w:rPr>
          <w:b/>
        </w:rPr>
        <w:t>echnology</w:t>
      </w:r>
      <w:r w:rsidR="007326E0">
        <w:rPr>
          <w:b/>
        </w:rPr>
        <w:t xml:space="preserve"> (IT)</w:t>
      </w:r>
    </w:p>
    <w:p w14:paraId="0EB2D87D" w14:textId="77777777" w:rsidR="00D5023A" w:rsidRDefault="00D5023A" w:rsidP="00D5023A">
      <w:pPr>
        <w:spacing w:after="0"/>
      </w:pPr>
    </w:p>
    <w:p w14:paraId="5EA2E3AD" w14:textId="04BCABEF" w:rsidR="001B2D50" w:rsidRDefault="00DC1501" w:rsidP="009578ED">
      <w:pPr>
        <w:spacing w:after="0"/>
        <w:rPr>
          <w:rFonts w:ascii="Calibri" w:eastAsia="Times New Roman" w:hAnsi="Calibri" w:cs="Calibri"/>
        </w:rPr>
      </w:pPr>
      <w:r w:rsidRPr="00DC1501">
        <w:rPr>
          <w:rFonts w:ascii="Calibri" w:eastAsia="Times New Roman" w:hAnsi="Calibri" w:cs="Calibri"/>
        </w:rPr>
        <w:t>Processes and practices that gauge the end-to-end delivery of IT solutions and those used to manage the composite hardware, software, network resources and services comprising an enterprise IT environment.</w:t>
      </w:r>
    </w:p>
    <w:p w14:paraId="551C9656" w14:textId="77777777" w:rsidR="00DC1501" w:rsidRDefault="00DC1501" w:rsidP="009578ED">
      <w:pPr>
        <w:spacing w:after="0"/>
      </w:pPr>
    </w:p>
    <w:p w14:paraId="2A053EBD" w14:textId="6FD810B9" w:rsidR="001B2D50" w:rsidRDefault="001B2D50" w:rsidP="001B2D50">
      <w:pPr>
        <w:spacing w:after="0"/>
      </w:pPr>
      <w:r>
        <w:t xml:space="preserve">Substantive </w:t>
      </w:r>
      <w:r w:rsidR="00DC1501">
        <w:t>A</w:t>
      </w:r>
      <w:r>
        <w:t xml:space="preserve">reas within this </w:t>
      </w:r>
      <w:r w:rsidR="00DC1501">
        <w:t>C</w:t>
      </w:r>
      <w:r>
        <w:t>lassification:</w:t>
      </w:r>
    </w:p>
    <w:p w14:paraId="264498CD" w14:textId="77777777" w:rsidR="001B2D50" w:rsidRDefault="001B2D50" w:rsidP="009578ED">
      <w:pPr>
        <w:spacing w:after="0"/>
      </w:pPr>
    </w:p>
    <w:p w14:paraId="30A6B688" w14:textId="7E0CED98" w:rsidR="009578ED" w:rsidRDefault="00DC1501" w:rsidP="009578ED">
      <w:pPr>
        <w:spacing w:after="0"/>
        <w:ind w:left="720"/>
      </w:pPr>
      <w:r>
        <w:t>IT10</w:t>
      </w:r>
      <w:r w:rsidR="009578ED">
        <w:tab/>
        <w:t>IT Services</w:t>
      </w:r>
    </w:p>
    <w:p w14:paraId="06B552E1" w14:textId="5D575DFE" w:rsidR="009578ED" w:rsidRDefault="00DC1501" w:rsidP="009578ED">
      <w:pPr>
        <w:spacing w:after="0"/>
        <w:ind w:left="720"/>
      </w:pPr>
      <w:r>
        <w:t>IT15</w:t>
      </w:r>
      <w:r w:rsidR="00C50EC9">
        <w:tab/>
        <w:t>IT Infrastructure</w:t>
      </w:r>
    </w:p>
    <w:p w14:paraId="7539428C" w14:textId="77777777" w:rsidR="009578ED" w:rsidRDefault="009578ED" w:rsidP="009578ED">
      <w:pPr>
        <w:spacing w:after="0"/>
      </w:pPr>
    </w:p>
    <w:p w14:paraId="4763FB4B" w14:textId="77777777" w:rsidR="00A579C1" w:rsidRPr="002D51E4" w:rsidRDefault="00A579C1" w:rsidP="00A579C1">
      <w:pPr>
        <w:spacing w:after="0"/>
        <w:rPr>
          <w:b/>
        </w:rPr>
      </w:pPr>
      <w:r>
        <w:rPr>
          <w:b/>
        </w:rPr>
        <w:t>Leadership and Management (LM)</w:t>
      </w:r>
    </w:p>
    <w:p w14:paraId="61AC385F" w14:textId="77777777" w:rsidR="00A579C1" w:rsidRDefault="00A579C1" w:rsidP="00A579C1">
      <w:pPr>
        <w:spacing w:after="0"/>
      </w:pPr>
    </w:p>
    <w:p w14:paraId="1BF5489F" w14:textId="699703E0" w:rsidR="00A579C1" w:rsidRDefault="001016A2" w:rsidP="00A579C1">
      <w:pPr>
        <w:spacing w:after="0"/>
        <w:rPr>
          <w:rFonts w:ascii="Calibri" w:eastAsia="Times New Roman" w:hAnsi="Calibri" w:cs="Calibri"/>
        </w:rPr>
      </w:pPr>
      <w:r w:rsidRPr="001016A2">
        <w:rPr>
          <w:rFonts w:ascii="Calibri" w:eastAsia="Times New Roman" w:hAnsi="Calibri" w:cs="Calibri"/>
        </w:rPr>
        <w:t>Establishing and sharing a clear vision and the design, execution, and control of operations that convert resources into desired goods and services, develop the organization's strategy, and monitor operations to assure alignment with that strategy.</w:t>
      </w:r>
    </w:p>
    <w:p w14:paraId="617CAAF9" w14:textId="1C8F3959" w:rsidR="001016A2" w:rsidRDefault="001016A2" w:rsidP="00A579C1">
      <w:pPr>
        <w:spacing w:after="0"/>
      </w:pPr>
    </w:p>
    <w:p w14:paraId="3D97C33B" w14:textId="77777777" w:rsidR="001016A2" w:rsidRDefault="001016A2" w:rsidP="00A579C1">
      <w:pPr>
        <w:spacing w:after="0"/>
      </w:pPr>
    </w:p>
    <w:p w14:paraId="2BEFBD07" w14:textId="6F886755" w:rsidR="00A579C1" w:rsidRDefault="00A579C1" w:rsidP="00A579C1">
      <w:pPr>
        <w:spacing w:after="0"/>
      </w:pPr>
      <w:r>
        <w:t xml:space="preserve">Substantive </w:t>
      </w:r>
      <w:r w:rsidR="001016A2">
        <w:t>A</w:t>
      </w:r>
      <w:r>
        <w:t xml:space="preserve">reas within this </w:t>
      </w:r>
      <w:r w:rsidR="001016A2">
        <w:t>C</w:t>
      </w:r>
      <w:r>
        <w:t>lassification:</w:t>
      </w:r>
    </w:p>
    <w:p w14:paraId="2733710A" w14:textId="77777777" w:rsidR="00A579C1" w:rsidRDefault="00A579C1" w:rsidP="00A579C1">
      <w:pPr>
        <w:spacing w:after="0"/>
      </w:pPr>
    </w:p>
    <w:p w14:paraId="2FEB3542" w14:textId="1BB0DCBB" w:rsidR="001016A2" w:rsidRDefault="001016A2" w:rsidP="001016A2">
      <w:pPr>
        <w:spacing w:after="0"/>
        <w:ind w:left="720"/>
      </w:pPr>
      <w:r>
        <w:t>LM10</w:t>
      </w:r>
      <w:r>
        <w:tab/>
        <w:t>Organizational Management</w:t>
      </w:r>
    </w:p>
    <w:p w14:paraId="6D66F440" w14:textId="77777777" w:rsidR="001016A2" w:rsidRDefault="001016A2" w:rsidP="001016A2">
      <w:pPr>
        <w:spacing w:after="0"/>
        <w:ind w:left="720"/>
      </w:pPr>
      <w:r>
        <w:t>LM15</w:t>
      </w:r>
      <w:r>
        <w:tab/>
        <w:t>Operational Management</w:t>
      </w:r>
    </w:p>
    <w:p w14:paraId="21B51BD6" w14:textId="77777777" w:rsidR="001016A2" w:rsidRDefault="001016A2" w:rsidP="001016A2">
      <w:pPr>
        <w:spacing w:after="0"/>
        <w:ind w:left="720"/>
      </w:pPr>
      <w:r>
        <w:t>LM20</w:t>
      </w:r>
      <w:r>
        <w:tab/>
        <w:t>Investor (Owner) Relations</w:t>
      </w:r>
    </w:p>
    <w:p w14:paraId="3BF99977" w14:textId="77777777" w:rsidR="001016A2" w:rsidRDefault="001016A2" w:rsidP="001016A2">
      <w:pPr>
        <w:spacing w:after="0"/>
        <w:ind w:left="720"/>
      </w:pPr>
      <w:r>
        <w:t>LM25</w:t>
      </w:r>
      <w:r>
        <w:tab/>
        <w:t>Leadership Relations</w:t>
      </w:r>
    </w:p>
    <w:p w14:paraId="718130F6" w14:textId="77777777" w:rsidR="001016A2" w:rsidRDefault="001016A2" w:rsidP="001016A2">
      <w:pPr>
        <w:spacing w:after="0"/>
        <w:ind w:left="720"/>
      </w:pPr>
      <w:r>
        <w:t>LM30</w:t>
      </w:r>
      <w:r>
        <w:tab/>
        <w:t>Stakeholder Relations</w:t>
      </w:r>
    </w:p>
    <w:p w14:paraId="04403931" w14:textId="77777777" w:rsidR="001016A2" w:rsidRDefault="001016A2" w:rsidP="001016A2">
      <w:pPr>
        <w:spacing w:after="0"/>
        <w:ind w:left="720"/>
      </w:pPr>
      <w:r>
        <w:t>LM35</w:t>
      </w:r>
      <w:r>
        <w:tab/>
        <w:t>Strategic Initiatives</w:t>
      </w:r>
    </w:p>
    <w:p w14:paraId="703EB664" w14:textId="34B69C1E" w:rsidR="00A579C1" w:rsidRDefault="001016A2" w:rsidP="001016A2">
      <w:pPr>
        <w:spacing w:after="0"/>
        <w:ind w:left="720"/>
      </w:pPr>
      <w:r>
        <w:t>LM40</w:t>
      </w:r>
      <w:r>
        <w:tab/>
        <w:t>Tactical Initiatives</w:t>
      </w:r>
    </w:p>
    <w:p w14:paraId="5C900230" w14:textId="77777777" w:rsidR="001016A2" w:rsidRDefault="001016A2" w:rsidP="001016A2">
      <w:pPr>
        <w:spacing w:after="0"/>
      </w:pPr>
    </w:p>
    <w:p w14:paraId="1D9311BD" w14:textId="77777777" w:rsidR="009E4964" w:rsidRDefault="009E4964" w:rsidP="009E4964">
      <w:pPr>
        <w:pStyle w:val="BodyText"/>
        <w:ind w:left="0"/>
        <w:rPr>
          <w:rFonts w:asciiTheme="minorHAnsi" w:hAnsiTheme="minorHAnsi"/>
          <w:b/>
          <w:sz w:val="22"/>
          <w:szCs w:val="22"/>
        </w:rPr>
      </w:pPr>
      <w:r>
        <w:rPr>
          <w:rFonts w:asciiTheme="minorHAnsi" w:hAnsiTheme="minorHAnsi"/>
          <w:b/>
          <w:sz w:val="22"/>
          <w:szCs w:val="22"/>
        </w:rPr>
        <w:t>Questions?</w:t>
      </w:r>
    </w:p>
    <w:p w14:paraId="2E1C3BFB" w14:textId="77777777" w:rsidR="009E4964" w:rsidRDefault="009E4964" w:rsidP="009E4964">
      <w:pPr>
        <w:pStyle w:val="BodyText"/>
        <w:ind w:left="0"/>
        <w:rPr>
          <w:rFonts w:asciiTheme="minorHAnsi" w:hAnsiTheme="minorHAnsi"/>
          <w:sz w:val="22"/>
          <w:szCs w:val="22"/>
        </w:rPr>
      </w:pPr>
    </w:p>
    <w:p w14:paraId="0C35C821" w14:textId="77777777" w:rsidR="009E4964" w:rsidRDefault="009E4964" w:rsidP="009E4964">
      <w:pPr>
        <w:pStyle w:val="BodyText"/>
        <w:ind w:left="0"/>
        <w:rPr>
          <w:rFonts w:asciiTheme="minorHAnsi" w:hAnsiTheme="minorHAnsi"/>
          <w:sz w:val="22"/>
          <w:szCs w:val="22"/>
        </w:rPr>
      </w:pPr>
      <w:r>
        <w:rPr>
          <w:rFonts w:asciiTheme="minorHAnsi" w:hAnsiTheme="minorHAnsi"/>
          <w:sz w:val="22"/>
          <w:szCs w:val="22"/>
        </w:rPr>
        <w:t xml:space="preserve">For further information about the ALA UPBMS or the public comment process, please contact: </w:t>
      </w:r>
      <w:hyperlink r:id="rId8" w:history="1">
        <w:r>
          <w:rPr>
            <w:rStyle w:val="Hyperlink"/>
            <w:rFonts w:asciiTheme="minorHAnsi" w:hAnsiTheme="minorHAnsi"/>
            <w:i/>
            <w:sz w:val="22"/>
            <w:szCs w:val="22"/>
          </w:rPr>
          <w:t>alaupbms@alanet.org</w:t>
        </w:r>
      </w:hyperlink>
      <w:r>
        <w:rPr>
          <w:rFonts w:asciiTheme="minorHAnsi" w:hAnsiTheme="minorHAnsi"/>
          <w:i/>
          <w:sz w:val="22"/>
          <w:szCs w:val="22"/>
        </w:rPr>
        <w:t>.</w:t>
      </w:r>
    </w:p>
    <w:p w14:paraId="064B5975" w14:textId="77777777" w:rsidR="009E4964" w:rsidRDefault="009E4964" w:rsidP="009578ED">
      <w:pPr>
        <w:spacing w:after="0"/>
      </w:pPr>
    </w:p>
    <w:sectPr w:rsidR="009E4964" w:rsidSect="001E2C1B">
      <w:headerReference w:type="default" r:id="rId9"/>
      <w:footerReference w:type="default" r:id="rId10"/>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15D38" w14:textId="77777777" w:rsidR="00C62A58" w:rsidRDefault="00C62A58" w:rsidP="00BB07BB">
      <w:pPr>
        <w:spacing w:after="0" w:line="240" w:lineRule="auto"/>
      </w:pPr>
      <w:r>
        <w:separator/>
      </w:r>
    </w:p>
  </w:endnote>
  <w:endnote w:type="continuationSeparator" w:id="0">
    <w:p w14:paraId="680F6063" w14:textId="77777777" w:rsidR="00C62A58" w:rsidRDefault="00C62A58" w:rsidP="00BB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ED0B" w14:textId="08E92843" w:rsidR="00EF78E6" w:rsidRDefault="000921A7" w:rsidP="00EF78E6">
    <w:pPr>
      <w:pStyle w:val="Footer"/>
      <w:rPr>
        <w:b/>
        <w:bCs/>
        <w:noProof/>
        <w:sz w:val="14"/>
      </w:rPr>
    </w:pPr>
    <w:r>
      <w:rPr>
        <w:sz w:val="14"/>
      </w:rPr>
      <w:fldChar w:fldCharType="begin"/>
    </w:r>
    <w:r w:rsidR="00EF78E6">
      <w:rPr>
        <w:sz w:val="14"/>
      </w:rPr>
      <w:instrText xml:space="preserve"> DATE \@ "M/d/yyyy h:mm:ss am/pm" </w:instrText>
    </w:r>
    <w:r>
      <w:rPr>
        <w:sz w:val="14"/>
      </w:rPr>
      <w:fldChar w:fldCharType="separate"/>
    </w:r>
    <w:r w:rsidR="00FC069E">
      <w:rPr>
        <w:noProof/>
        <w:sz w:val="14"/>
      </w:rPr>
      <w:t>3/17/2019 4:34:38 PM</w:t>
    </w:r>
    <w:r>
      <w:rPr>
        <w:sz w:val="14"/>
      </w:rPr>
      <w:fldChar w:fldCharType="end"/>
    </w:r>
    <w:r w:rsidR="00EF78E6">
      <w:rPr>
        <w:sz w:val="14"/>
      </w:rPr>
      <w:ptab w:relativeTo="margin" w:alignment="center" w:leader="none"/>
    </w:r>
    <w:r w:rsidR="00EF78E6" w:rsidRPr="00F56BB1">
      <w:rPr>
        <w:sz w:val="14"/>
      </w:rPr>
      <w:t xml:space="preserve">Page | </w:t>
    </w:r>
    <w:r w:rsidRPr="00F56BB1">
      <w:rPr>
        <w:sz w:val="14"/>
      </w:rPr>
      <w:fldChar w:fldCharType="begin"/>
    </w:r>
    <w:r w:rsidR="00EF78E6" w:rsidRPr="00F56BB1">
      <w:rPr>
        <w:sz w:val="14"/>
      </w:rPr>
      <w:instrText xml:space="preserve"> PAGE   \* MERGEFORMAT </w:instrText>
    </w:r>
    <w:r w:rsidRPr="00F56BB1">
      <w:rPr>
        <w:sz w:val="14"/>
      </w:rPr>
      <w:fldChar w:fldCharType="separate"/>
    </w:r>
    <w:r w:rsidR="0000113A">
      <w:rPr>
        <w:noProof/>
        <w:sz w:val="14"/>
      </w:rPr>
      <w:t>4</w:t>
    </w:r>
    <w:r w:rsidRPr="00F56BB1">
      <w:rPr>
        <w:noProof/>
        <w:sz w:val="14"/>
      </w:rPr>
      <w:fldChar w:fldCharType="end"/>
    </w:r>
  </w:p>
  <w:p w14:paraId="1A5EB9F5" w14:textId="77777777" w:rsidR="00EF78E6" w:rsidRDefault="00EF78E6" w:rsidP="00EF78E6">
    <w:pPr>
      <w:pStyle w:val="Footer"/>
      <w:rPr>
        <w:b/>
        <w:bCs/>
        <w:noProof/>
        <w:sz w:val="14"/>
      </w:rPr>
    </w:pPr>
  </w:p>
  <w:p w14:paraId="3F10A254" w14:textId="551EE049" w:rsidR="00EF78E6" w:rsidRDefault="00EF78E6" w:rsidP="00EF78E6">
    <w:pPr>
      <w:pStyle w:val="Footer"/>
      <w:rPr>
        <w:sz w:val="14"/>
      </w:rPr>
    </w:pPr>
    <w:r>
      <w:rPr>
        <w:sz w:val="14"/>
      </w:rPr>
      <w:t xml:space="preserve"> </w:t>
    </w:r>
    <w:r>
      <w:rPr>
        <w:sz w:val="14"/>
      </w:rPr>
      <w:ptab w:relativeTo="margin" w:alignment="right" w:leader="none"/>
    </w:r>
    <w:r>
      <w:rPr>
        <w:sz w:val="14"/>
      </w:rPr>
      <w:t>©</w:t>
    </w:r>
    <w:r>
      <w:rPr>
        <w:spacing w:val="-1"/>
        <w:sz w:val="14"/>
      </w:rPr>
      <w:t xml:space="preserve"> </w:t>
    </w:r>
    <w:r>
      <w:rPr>
        <w:sz w:val="14"/>
      </w:rPr>
      <w:t>201</w:t>
    </w:r>
    <w:r w:rsidR="001016A2">
      <w:rPr>
        <w:sz w:val="14"/>
      </w:rPr>
      <w:t>9</w:t>
    </w:r>
    <w:r>
      <w:rPr>
        <w:sz w:val="14"/>
      </w:rPr>
      <w:t xml:space="preserve"> Association of Legal Administrators.  All rights</w:t>
    </w:r>
    <w:r>
      <w:rPr>
        <w:spacing w:val="1"/>
        <w:sz w:val="14"/>
      </w:rPr>
      <w:t xml:space="preserve"> </w:t>
    </w:r>
    <w:r>
      <w:rPr>
        <w:spacing w:val="-1"/>
        <w:sz w:val="14"/>
      </w:rPr>
      <w:t>reserved</w:t>
    </w:r>
    <w:r>
      <w:rPr>
        <w:sz w:val="14"/>
      </w:rPr>
      <w:t xml:space="preserve"> </w:t>
    </w:r>
    <w:r>
      <w:rPr>
        <w:spacing w:val="-1"/>
        <w:sz w:val="14"/>
      </w:rPr>
      <w:t xml:space="preserve">worldwide.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6B8D6" w14:textId="77777777" w:rsidR="00C62A58" w:rsidRDefault="00C62A58" w:rsidP="00BB07BB">
      <w:pPr>
        <w:spacing w:after="0" w:line="240" w:lineRule="auto"/>
      </w:pPr>
      <w:r>
        <w:separator/>
      </w:r>
    </w:p>
  </w:footnote>
  <w:footnote w:type="continuationSeparator" w:id="0">
    <w:p w14:paraId="346237E3" w14:textId="77777777" w:rsidR="00C62A58" w:rsidRDefault="00C62A58" w:rsidP="00BB0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A6C6" w14:textId="77777777" w:rsidR="00EF78E6" w:rsidRDefault="00EF78E6" w:rsidP="00EF78E6">
    <w:pPr>
      <w:pStyle w:val="Header"/>
      <w:tabs>
        <w:tab w:val="clear" w:pos="4680"/>
        <w:tab w:val="clear" w:pos="9360"/>
      </w:tabs>
      <w:jc w:val="right"/>
      <w:rPr>
        <w:color w:val="8496B0" w:themeColor="text2" w:themeTint="99"/>
        <w:sz w:val="24"/>
        <w:szCs w:val="24"/>
      </w:rPr>
    </w:pPr>
    <w:r>
      <w:rPr>
        <w:noProof/>
        <w:color w:val="8496B0" w:themeColor="text2" w:themeTint="99"/>
        <w:sz w:val="24"/>
        <w:szCs w:val="24"/>
      </w:rPr>
      <w:drawing>
        <wp:inline distT="0" distB="0" distL="0" distR="0" wp14:anchorId="41CD58C8" wp14:editId="7DD3D701">
          <wp:extent cx="657225" cy="657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LA-UPBMS-logo-Highres-576-x-576.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p>
  <w:p w14:paraId="1B83FD0F" w14:textId="77777777" w:rsidR="00EF78E6" w:rsidRDefault="00EF78E6" w:rsidP="00EF78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6C"/>
    <w:rsid w:val="0000113A"/>
    <w:rsid w:val="00033C9D"/>
    <w:rsid w:val="0006740C"/>
    <w:rsid w:val="000921A7"/>
    <w:rsid w:val="000B0AD5"/>
    <w:rsid w:val="000C2675"/>
    <w:rsid w:val="000D158D"/>
    <w:rsid w:val="001016A2"/>
    <w:rsid w:val="00101C04"/>
    <w:rsid w:val="001109D2"/>
    <w:rsid w:val="001410CF"/>
    <w:rsid w:val="00184732"/>
    <w:rsid w:val="001B2D50"/>
    <w:rsid w:val="001E2C1B"/>
    <w:rsid w:val="00210D3C"/>
    <w:rsid w:val="002118A1"/>
    <w:rsid w:val="00245C1C"/>
    <w:rsid w:val="00265293"/>
    <w:rsid w:val="00287F6F"/>
    <w:rsid w:val="002C071C"/>
    <w:rsid w:val="002D51E4"/>
    <w:rsid w:val="002D6913"/>
    <w:rsid w:val="002F7762"/>
    <w:rsid w:val="003069E4"/>
    <w:rsid w:val="00312F87"/>
    <w:rsid w:val="003250F4"/>
    <w:rsid w:val="003377AD"/>
    <w:rsid w:val="00343EC1"/>
    <w:rsid w:val="00376434"/>
    <w:rsid w:val="00382F84"/>
    <w:rsid w:val="00384022"/>
    <w:rsid w:val="004121DD"/>
    <w:rsid w:val="004146D7"/>
    <w:rsid w:val="00420233"/>
    <w:rsid w:val="004831D6"/>
    <w:rsid w:val="004C742E"/>
    <w:rsid w:val="004E1EE6"/>
    <w:rsid w:val="004E4728"/>
    <w:rsid w:val="004E7D8A"/>
    <w:rsid w:val="004F5C70"/>
    <w:rsid w:val="00500586"/>
    <w:rsid w:val="005008FC"/>
    <w:rsid w:val="0050103E"/>
    <w:rsid w:val="005043BE"/>
    <w:rsid w:val="00511BD1"/>
    <w:rsid w:val="00524916"/>
    <w:rsid w:val="00584BE4"/>
    <w:rsid w:val="005A0711"/>
    <w:rsid w:val="005A54C4"/>
    <w:rsid w:val="005A6839"/>
    <w:rsid w:val="005A6CE6"/>
    <w:rsid w:val="005A7884"/>
    <w:rsid w:val="005A7C4B"/>
    <w:rsid w:val="005B292E"/>
    <w:rsid w:val="005C290A"/>
    <w:rsid w:val="005C7F26"/>
    <w:rsid w:val="005E5F0D"/>
    <w:rsid w:val="005F08DB"/>
    <w:rsid w:val="00620BC7"/>
    <w:rsid w:val="0062227D"/>
    <w:rsid w:val="0062451A"/>
    <w:rsid w:val="0064797D"/>
    <w:rsid w:val="00652BFC"/>
    <w:rsid w:val="0066030B"/>
    <w:rsid w:val="006637C3"/>
    <w:rsid w:val="00682E6D"/>
    <w:rsid w:val="006921BE"/>
    <w:rsid w:val="006B0DD6"/>
    <w:rsid w:val="006D1D2A"/>
    <w:rsid w:val="006D77EF"/>
    <w:rsid w:val="006D7F9F"/>
    <w:rsid w:val="006E4A67"/>
    <w:rsid w:val="006F3C0B"/>
    <w:rsid w:val="007326E0"/>
    <w:rsid w:val="00736A54"/>
    <w:rsid w:val="00737C8D"/>
    <w:rsid w:val="00764C8E"/>
    <w:rsid w:val="0079238E"/>
    <w:rsid w:val="007C3367"/>
    <w:rsid w:val="007F10AE"/>
    <w:rsid w:val="0082482F"/>
    <w:rsid w:val="0083311E"/>
    <w:rsid w:val="00851A27"/>
    <w:rsid w:val="0086689C"/>
    <w:rsid w:val="00867F90"/>
    <w:rsid w:val="00871D61"/>
    <w:rsid w:val="008A2734"/>
    <w:rsid w:val="008A5A41"/>
    <w:rsid w:val="008D03E6"/>
    <w:rsid w:val="008D4FAF"/>
    <w:rsid w:val="008E0200"/>
    <w:rsid w:val="008E02D4"/>
    <w:rsid w:val="008E58B3"/>
    <w:rsid w:val="008F0AB6"/>
    <w:rsid w:val="008F55CD"/>
    <w:rsid w:val="00912CC4"/>
    <w:rsid w:val="009518D3"/>
    <w:rsid w:val="009560CF"/>
    <w:rsid w:val="009578ED"/>
    <w:rsid w:val="0096697C"/>
    <w:rsid w:val="00977932"/>
    <w:rsid w:val="0098501D"/>
    <w:rsid w:val="009E4964"/>
    <w:rsid w:val="009F2DA5"/>
    <w:rsid w:val="00A379C3"/>
    <w:rsid w:val="00A411D0"/>
    <w:rsid w:val="00A558C6"/>
    <w:rsid w:val="00A579C1"/>
    <w:rsid w:val="00A7352D"/>
    <w:rsid w:val="00A84455"/>
    <w:rsid w:val="00A86587"/>
    <w:rsid w:val="00AA41DF"/>
    <w:rsid w:val="00AC1700"/>
    <w:rsid w:val="00AC31BB"/>
    <w:rsid w:val="00AE60AA"/>
    <w:rsid w:val="00AF4355"/>
    <w:rsid w:val="00AF69BC"/>
    <w:rsid w:val="00B17211"/>
    <w:rsid w:val="00B50D7A"/>
    <w:rsid w:val="00B85FC3"/>
    <w:rsid w:val="00BB07BB"/>
    <w:rsid w:val="00BC0D7D"/>
    <w:rsid w:val="00BC476C"/>
    <w:rsid w:val="00BD27EB"/>
    <w:rsid w:val="00BD42F8"/>
    <w:rsid w:val="00BF3337"/>
    <w:rsid w:val="00BF6572"/>
    <w:rsid w:val="00C2213A"/>
    <w:rsid w:val="00C26E47"/>
    <w:rsid w:val="00C47B40"/>
    <w:rsid w:val="00C50EC9"/>
    <w:rsid w:val="00C51DEB"/>
    <w:rsid w:val="00C62A58"/>
    <w:rsid w:val="00C66C39"/>
    <w:rsid w:val="00C8742E"/>
    <w:rsid w:val="00CB7EED"/>
    <w:rsid w:val="00CD2AEF"/>
    <w:rsid w:val="00CE1F30"/>
    <w:rsid w:val="00CF6BD7"/>
    <w:rsid w:val="00D342F2"/>
    <w:rsid w:val="00D5023A"/>
    <w:rsid w:val="00D519DD"/>
    <w:rsid w:val="00D71020"/>
    <w:rsid w:val="00D91ED2"/>
    <w:rsid w:val="00DC1501"/>
    <w:rsid w:val="00DE047B"/>
    <w:rsid w:val="00DF5336"/>
    <w:rsid w:val="00E06E8B"/>
    <w:rsid w:val="00E34B21"/>
    <w:rsid w:val="00E42E93"/>
    <w:rsid w:val="00E63F5F"/>
    <w:rsid w:val="00E75095"/>
    <w:rsid w:val="00E755DE"/>
    <w:rsid w:val="00E8539E"/>
    <w:rsid w:val="00ED3DAE"/>
    <w:rsid w:val="00ED493A"/>
    <w:rsid w:val="00EF0D38"/>
    <w:rsid w:val="00EF78E6"/>
    <w:rsid w:val="00F057D1"/>
    <w:rsid w:val="00F27939"/>
    <w:rsid w:val="00F35191"/>
    <w:rsid w:val="00F42DD8"/>
    <w:rsid w:val="00F5288E"/>
    <w:rsid w:val="00F546C0"/>
    <w:rsid w:val="00F80B0B"/>
    <w:rsid w:val="00F90EE9"/>
    <w:rsid w:val="00FB47B3"/>
    <w:rsid w:val="00FC069E"/>
    <w:rsid w:val="00FE0864"/>
    <w:rsid w:val="00FF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A1E5"/>
  <w15:docId w15:val="{51480AB5-A33E-4629-AD90-D7816665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ED2"/>
  </w:style>
  <w:style w:type="paragraph" w:styleId="Heading1">
    <w:name w:val="heading 1"/>
    <w:basedOn w:val="Normal"/>
    <w:next w:val="Normal"/>
    <w:link w:val="Heading1Char"/>
    <w:uiPriority w:val="9"/>
    <w:qFormat/>
    <w:rsid w:val="002D51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51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2F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1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51E4"/>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BB0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7BB"/>
    <w:rPr>
      <w:sz w:val="20"/>
      <w:szCs w:val="20"/>
    </w:rPr>
  </w:style>
  <w:style w:type="character" w:styleId="FootnoteReference">
    <w:name w:val="footnote reference"/>
    <w:basedOn w:val="DefaultParagraphFont"/>
    <w:uiPriority w:val="99"/>
    <w:semiHidden/>
    <w:unhideWhenUsed/>
    <w:rsid w:val="00BB07BB"/>
    <w:rPr>
      <w:vertAlign w:val="superscript"/>
    </w:rPr>
  </w:style>
  <w:style w:type="paragraph" w:styleId="Header">
    <w:name w:val="header"/>
    <w:basedOn w:val="Normal"/>
    <w:link w:val="HeaderChar"/>
    <w:uiPriority w:val="99"/>
    <w:unhideWhenUsed/>
    <w:rsid w:val="00AF6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9BC"/>
  </w:style>
  <w:style w:type="paragraph" w:styleId="Footer">
    <w:name w:val="footer"/>
    <w:basedOn w:val="Normal"/>
    <w:link w:val="FooterChar"/>
    <w:uiPriority w:val="99"/>
    <w:unhideWhenUsed/>
    <w:rsid w:val="00AF6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9BC"/>
  </w:style>
  <w:style w:type="character" w:customStyle="1" w:styleId="Heading3Char">
    <w:name w:val="Heading 3 Char"/>
    <w:basedOn w:val="DefaultParagraphFont"/>
    <w:link w:val="Heading3"/>
    <w:uiPriority w:val="9"/>
    <w:rsid w:val="00312F8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E4964"/>
    <w:rPr>
      <w:color w:val="0563C1" w:themeColor="hyperlink"/>
      <w:u w:val="single"/>
    </w:rPr>
  </w:style>
  <w:style w:type="paragraph" w:styleId="BodyText">
    <w:name w:val="Body Text"/>
    <w:basedOn w:val="Normal"/>
    <w:link w:val="BodyTextChar"/>
    <w:uiPriority w:val="1"/>
    <w:semiHidden/>
    <w:unhideWhenUsed/>
    <w:qFormat/>
    <w:rsid w:val="009E4964"/>
    <w:pPr>
      <w:widowControl w:val="0"/>
      <w:spacing w:after="0" w:line="240" w:lineRule="auto"/>
      <w:ind w:left="133"/>
    </w:pPr>
    <w:rPr>
      <w:rFonts w:ascii="Arial" w:eastAsia="Arial" w:hAnsi="Arial"/>
      <w:sz w:val="18"/>
      <w:szCs w:val="18"/>
    </w:rPr>
  </w:style>
  <w:style w:type="character" w:customStyle="1" w:styleId="BodyTextChar">
    <w:name w:val="Body Text Char"/>
    <w:basedOn w:val="DefaultParagraphFont"/>
    <w:link w:val="BodyText"/>
    <w:uiPriority w:val="1"/>
    <w:semiHidden/>
    <w:rsid w:val="009E4964"/>
    <w:rPr>
      <w:rFonts w:ascii="Arial" w:eastAsia="Arial" w:hAnsi="Arial"/>
      <w:sz w:val="18"/>
      <w:szCs w:val="18"/>
    </w:rPr>
  </w:style>
  <w:style w:type="paragraph" w:styleId="BalloonText">
    <w:name w:val="Balloon Text"/>
    <w:basedOn w:val="Normal"/>
    <w:link w:val="BalloonTextChar"/>
    <w:uiPriority w:val="99"/>
    <w:semiHidden/>
    <w:unhideWhenUsed/>
    <w:rsid w:val="00F5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7632">
      <w:bodyDiv w:val="1"/>
      <w:marLeft w:val="0"/>
      <w:marRight w:val="0"/>
      <w:marTop w:val="0"/>
      <w:marBottom w:val="0"/>
      <w:divBdr>
        <w:top w:val="none" w:sz="0" w:space="0" w:color="auto"/>
        <w:left w:val="none" w:sz="0" w:space="0" w:color="auto"/>
        <w:bottom w:val="none" w:sz="0" w:space="0" w:color="auto"/>
        <w:right w:val="none" w:sz="0" w:space="0" w:color="auto"/>
      </w:divBdr>
    </w:div>
    <w:div w:id="22950179">
      <w:bodyDiv w:val="1"/>
      <w:marLeft w:val="0"/>
      <w:marRight w:val="0"/>
      <w:marTop w:val="0"/>
      <w:marBottom w:val="0"/>
      <w:divBdr>
        <w:top w:val="none" w:sz="0" w:space="0" w:color="auto"/>
        <w:left w:val="none" w:sz="0" w:space="0" w:color="auto"/>
        <w:bottom w:val="none" w:sz="0" w:space="0" w:color="auto"/>
        <w:right w:val="none" w:sz="0" w:space="0" w:color="auto"/>
      </w:divBdr>
    </w:div>
    <w:div w:id="44499669">
      <w:bodyDiv w:val="1"/>
      <w:marLeft w:val="0"/>
      <w:marRight w:val="0"/>
      <w:marTop w:val="0"/>
      <w:marBottom w:val="0"/>
      <w:divBdr>
        <w:top w:val="none" w:sz="0" w:space="0" w:color="auto"/>
        <w:left w:val="none" w:sz="0" w:space="0" w:color="auto"/>
        <w:bottom w:val="none" w:sz="0" w:space="0" w:color="auto"/>
        <w:right w:val="none" w:sz="0" w:space="0" w:color="auto"/>
      </w:divBdr>
    </w:div>
    <w:div w:id="90787618">
      <w:bodyDiv w:val="1"/>
      <w:marLeft w:val="0"/>
      <w:marRight w:val="0"/>
      <w:marTop w:val="0"/>
      <w:marBottom w:val="0"/>
      <w:divBdr>
        <w:top w:val="none" w:sz="0" w:space="0" w:color="auto"/>
        <w:left w:val="none" w:sz="0" w:space="0" w:color="auto"/>
        <w:bottom w:val="none" w:sz="0" w:space="0" w:color="auto"/>
        <w:right w:val="none" w:sz="0" w:space="0" w:color="auto"/>
      </w:divBdr>
    </w:div>
    <w:div w:id="129444244">
      <w:bodyDiv w:val="1"/>
      <w:marLeft w:val="0"/>
      <w:marRight w:val="0"/>
      <w:marTop w:val="0"/>
      <w:marBottom w:val="0"/>
      <w:divBdr>
        <w:top w:val="none" w:sz="0" w:space="0" w:color="auto"/>
        <w:left w:val="none" w:sz="0" w:space="0" w:color="auto"/>
        <w:bottom w:val="none" w:sz="0" w:space="0" w:color="auto"/>
        <w:right w:val="none" w:sz="0" w:space="0" w:color="auto"/>
      </w:divBdr>
    </w:div>
    <w:div w:id="481696566">
      <w:bodyDiv w:val="1"/>
      <w:marLeft w:val="0"/>
      <w:marRight w:val="0"/>
      <w:marTop w:val="0"/>
      <w:marBottom w:val="0"/>
      <w:divBdr>
        <w:top w:val="none" w:sz="0" w:space="0" w:color="auto"/>
        <w:left w:val="none" w:sz="0" w:space="0" w:color="auto"/>
        <w:bottom w:val="none" w:sz="0" w:space="0" w:color="auto"/>
        <w:right w:val="none" w:sz="0" w:space="0" w:color="auto"/>
      </w:divBdr>
    </w:div>
    <w:div w:id="577445940">
      <w:bodyDiv w:val="1"/>
      <w:marLeft w:val="0"/>
      <w:marRight w:val="0"/>
      <w:marTop w:val="0"/>
      <w:marBottom w:val="0"/>
      <w:divBdr>
        <w:top w:val="none" w:sz="0" w:space="0" w:color="auto"/>
        <w:left w:val="none" w:sz="0" w:space="0" w:color="auto"/>
        <w:bottom w:val="none" w:sz="0" w:space="0" w:color="auto"/>
        <w:right w:val="none" w:sz="0" w:space="0" w:color="auto"/>
      </w:divBdr>
    </w:div>
    <w:div w:id="71381991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74027961">
      <w:bodyDiv w:val="1"/>
      <w:marLeft w:val="0"/>
      <w:marRight w:val="0"/>
      <w:marTop w:val="0"/>
      <w:marBottom w:val="0"/>
      <w:divBdr>
        <w:top w:val="none" w:sz="0" w:space="0" w:color="auto"/>
        <w:left w:val="none" w:sz="0" w:space="0" w:color="auto"/>
        <w:bottom w:val="none" w:sz="0" w:space="0" w:color="auto"/>
        <w:right w:val="none" w:sz="0" w:space="0" w:color="auto"/>
      </w:divBdr>
    </w:div>
    <w:div w:id="1171220192">
      <w:bodyDiv w:val="1"/>
      <w:marLeft w:val="0"/>
      <w:marRight w:val="0"/>
      <w:marTop w:val="0"/>
      <w:marBottom w:val="0"/>
      <w:divBdr>
        <w:top w:val="none" w:sz="0" w:space="0" w:color="auto"/>
        <w:left w:val="none" w:sz="0" w:space="0" w:color="auto"/>
        <w:bottom w:val="none" w:sz="0" w:space="0" w:color="auto"/>
        <w:right w:val="none" w:sz="0" w:space="0" w:color="auto"/>
      </w:divBdr>
    </w:div>
    <w:div w:id="1396666774">
      <w:bodyDiv w:val="1"/>
      <w:marLeft w:val="0"/>
      <w:marRight w:val="0"/>
      <w:marTop w:val="0"/>
      <w:marBottom w:val="0"/>
      <w:divBdr>
        <w:top w:val="none" w:sz="0" w:space="0" w:color="auto"/>
        <w:left w:val="none" w:sz="0" w:space="0" w:color="auto"/>
        <w:bottom w:val="none" w:sz="0" w:space="0" w:color="auto"/>
        <w:right w:val="none" w:sz="0" w:space="0" w:color="auto"/>
      </w:divBdr>
    </w:div>
    <w:div w:id="1539902173">
      <w:bodyDiv w:val="1"/>
      <w:marLeft w:val="0"/>
      <w:marRight w:val="0"/>
      <w:marTop w:val="0"/>
      <w:marBottom w:val="0"/>
      <w:divBdr>
        <w:top w:val="none" w:sz="0" w:space="0" w:color="auto"/>
        <w:left w:val="none" w:sz="0" w:space="0" w:color="auto"/>
        <w:bottom w:val="none" w:sz="0" w:space="0" w:color="auto"/>
        <w:right w:val="none" w:sz="0" w:space="0" w:color="auto"/>
      </w:divBdr>
    </w:div>
    <w:div w:id="1938823463">
      <w:bodyDiv w:val="1"/>
      <w:marLeft w:val="0"/>
      <w:marRight w:val="0"/>
      <w:marTop w:val="0"/>
      <w:marBottom w:val="0"/>
      <w:divBdr>
        <w:top w:val="none" w:sz="0" w:space="0" w:color="auto"/>
        <w:left w:val="none" w:sz="0" w:space="0" w:color="auto"/>
        <w:bottom w:val="none" w:sz="0" w:space="0" w:color="auto"/>
        <w:right w:val="none" w:sz="0" w:space="0" w:color="auto"/>
      </w:divBdr>
    </w:div>
    <w:div w:id="19591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upbms@alane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D06B2-B404-435E-BCF4-89A7CD5E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Mech</dc:creator>
  <cp:lastModifiedBy>Bill Mech</cp:lastModifiedBy>
  <cp:revision>7</cp:revision>
  <cp:lastPrinted>2019-03-17T21:34:00Z</cp:lastPrinted>
  <dcterms:created xsi:type="dcterms:W3CDTF">2019-02-22T03:26:00Z</dcterms:created>
  <dcterms:modified xsi:type="dcterms:W3CDTF">2019-03-17T21:34:00Z</dcterms:modified>
</cp:coreProperties>
</file>